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C" w:rsidRDefault="00706A09">
      <w:pPr>
        <w:widowControl/>
        <w:rPr>
          <w:rStyle w:val="a5"/>
          <w:rFonts w:ascii="Times New Roman" w:eastAsia="標楷體" w:hAnsi="Times New Roman" w:cs="Times New Roman"/>
          <w:sz w:val="96"/>
          <w:szCs w:val="96"/>
        </w:rPr>
      </w:pPr>
      <w:r>
        <w:rPr>
          <w:rStyle w:val="a5"/>
          <w:rFonts w:ascii="Times New Roman" w:eastAsia="標楷體" w:hAnsi="Times New Roman" w:cs="Times New Roman" w:hint="eastAsia"/>
          <w:sz w:val="96"/>
          <w:szCs w:val="96"/>
        </w:rPr>
        <w:t>2018</w:t>
      </w:r>
      <w:r w:rsidR="005E5A7B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-9</w:t>
      </w:r>
      <w:r w:rsidR="005E5A7B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月</w:t>
      </w:r>
      <w:bookmarkStart w:id="0" w:name="_GoBack"/>
      <w:bookmarkEnd w:id="0"/>
      <w:r w:rsidR="00EA64A1">
        <w:rPr>
          <w:rStyle w:val="a5"/>
          <w:rFonts w:ascii="Times New Roman" w:eastAsia="標楷體" w:hAnsi="Times New Roman" w:cs="Times New Roman" w:hint="eastAsia"/>
          <w:sz w:val="96"/>
          <w:szCs w:val="96"/>
        </w:rPr>
        <w:t xml:space="preserve">     </w:t>
      </w:r>
    </w:p>
    <w:p w:rsidR="008F227C" w:rsidRDefault="008F227C" w:rsidP="008F227C">
      <w:pPr>
        <w:widowControl/>
        <w:jc w:val="center"/>
        <w:rPr>
          <w:rStyle w:val="a5"/>
          <w:rFonts w:ascii="Times New Roman" w:eastAsia="標楷體" w:hAnsi="Times New Roman" w:cs="Times New Roman"/>
          <w:sz w:val="96"/>
          <w:szCs w:val="96"/>
        </w:rPr>
      </w:pPr>
      <w:r w:rsidRPr="008F227C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輔仁大學</w:t>
      </w:r>
      <w:r w:rsidR="00602D66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食品</w:t>
      </w:r>
      <w:r w:rsidRPr="008F227C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系</w:t>
      </w:r>
    </w:p>
    <w:p w:rsidR="008F227C" w:rsidRDefault="008F227C" w:rsidP="008F227C">
      <w:pPr>
        <w:widowControl/>
        <w:jc w:val="center"/>
        <w:rPr>
          <w:rStyle w:val="a5"/>
          <w:rFonts w:ascii="Times New Roman" w:eastAsia="標楷體" w:hAnsi="Times New Roman" w:cs="Times New Roman"/>
          <w:sz w:val="96"/>
          <w:szCs w:val="96"/>
        </w:rPr>
      </w:pPr>
      <w:r w:rsidRPr="008F227C">
        <w:rPr>
          <w:rStyle w:val="a5"/>
          <w:rFonts w:ascii="Times New Roman" w:eastAsia="標楷體" w:hAnsi="Times New Roman" w:cs="Times New Roman" w:hint="eastAsia"/>
          <w:sz w:val="96"/>
          <w:szCs w:val="96"/>
        </w:rPr>
        <w:t>實驗室安全守則</w:t>
      </w:r>
    </w:p>
    <w:p w:rsidR="008F227C" w:rsidRDefault="008F227C">
      <w:pPr>
        <w:widowControl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</w:p>
    <w:p w:rsidR="00CF5A46" w:rsidRDefault="00CF5A46">
      <w:pPr>
        <w:widowControl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</w:p>
    <w:p w:rsidR="00CF5A46" w:rsidRDefault="00CF5A46">
      <w:pPr>
        <w:widowControl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0701A8" w:rsidRDefault="000701A8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CF5A46" w:rsidRDefault="00CF5A46">
      <w:pPr>
        <w:widowControl/>
        <w:rPr>
          <w:rStyle w:val="a5"/>
          <w:rFonts w:ascii="Times New Roman" w:eastAsia="標楷體" w:hAnsi="Times New Roman" w:cs="Times New Roman"/>
          <w:sz w:val="40"/>
          <w:szCs w:val="40"/>
        </w:rPr>
      </w:pPr>
    </w:p>
    <w:p w:rsidR="00E16034" w:rsidRPr="00BF5664" w:rsidRDefault="00302DAF" w:rsidP="00E16034">
      <w:pPr>
        <w:jc w:val="center"/>
        <w:rPr>
          <w:rStyle w:val="a5"/>
          <w:rFonts w:ascii="Times New Roman" w:eastAsia="標楷體" w:hAnsi="Times New Roman" w:cs="Times New Roman"/>
          <w:sz w:val="40"/>
          <w:szCs w:val="40"/>
          <w:u w:val="single"/>
        </w:rPr>
      </w:pPr>
      <w:r>
        <w:rPr>
          <w:rStyle w:val="a5"/>
          <w:rFonts w:ascii="Times New Roman" w:eastAsia="標楷體" w:hAnsi="Times New Roman" w:cs="Times New Roman" w:hint="eastAsia"/>
          <w:sz w:val="40"/>
          <w:szCs w:val="40"/>
          <w:u w:val="single"/>
        </w:rPr>
        <w:lastRenderedPageBreak/>
        <w:t>輔仁大學</w:t>
      </w:r>
      <w:r w:rsidR="00602D66">
        <w:rPr>
          <w:rStyle w:val="a5"/>
          <w:rFonts w:ascii="Times New Roman" w:eastAsia="標楷體" w:hAnsi="Times New Roman" w:cs="Times New Roman" w:hint="eastAsia"/>
          <w:sz w:val="40"/>
          <w:szCs w:val="40"/>
          <w:u w:val="single"/>
        </w:rPr>
        <w:t>食品</w:t>
      </w:r>
      <w:r w:rsidR="00AF2F72">
        <w:rPr>
          <w:rStyle w:val="a5"/>
          <w:rFonts w:ascii="Times New Roman" w:eastAsia="標楷體" w:hAnsi="Times New Roman" w:cs="Times New Roman" w:hint="eastAsia"/>
          <w:sz w:val="40"/>
          <w:szCs w:val="40"/>
          <w:u w:val="single"/>
        </w:rPr>
        <w:t>科學</w:t>
      </w:r>
      <w:r>
        <w:rPr>
          <w:rStyle w:val="a5"/>
          <w:rFonts w:ascii="Times New Roman" w:eastAsia="標楷體" w:hAnsi="Times New Roman" w:cs="Times New Roman" w:hint="eastAsia"/>
          <w:sz w:val="40"/>
          <w:szCs w:val="40"/>
          <w:u w:val="single"/>
        </w:rPr>
        <w:t>系</w:t>
      </w:r>
      <w:r w:rsidR="00E16034" w:rsidRPr="00BF5664">
        <w:rPr>
          <w:rStyle w:val="a5"/>
          <w:rFonts w:ascii="Times New Roman" w:eastAsia="標楷體" w:hAnsi="Times New Roman" w:cs="Times New Roman"/>
          <w:sz w:val="40"/>
          <w:szCs w:val="40"/>
          <w:u w:val="single"/>
        </w:rPr>
        <w:t>實驗室安全守則</w:t>
      </w:r>
    </w:p>
    <w:p w:rsidR="00E16034" w:rsidRPr="00E16034" w:rsidRDefault="00E16034" w:rsidP="00E16034">
      <w:pPr>
        <w:rPr>
          <w:rStyle w:val="a5"/>
          <w:rFonts w:ascii="Times New Roman" w:eastAsia="標楷體" w:hAnsi="Times New Roman" w:cs="Times New Roman"/>
          <w:sz w:val="28"/>
          <w:szCs w:val="28"/>
        </w:rPr>
      </w:pPr>
    </w:p>
    <w:p w:rsidR="00E16034" w:rsidRPr="00602D09" w:rsidRDefault="00E16034" w:rsidP="00E16034">
      <w:pPr>
        <w:pStyle w:val="a6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一般規定</w:t>
      </w: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</w:p>
    <w:p w:rsidR="000E4C28" w:rsidRDefault="000E4C28" w:rsidP="00E16034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凡</w:t>
      </w:r>
      <w:r w:rsidR="00223AAA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>
        <w:rPr>
          <w:rFonts w:ascii="Times New Roman" w:eastAsia="標楷體" w:hAnsi="Times New Roman" w:cs="Times New Roman" w:hint="eastAsia"/>
          <w:sz w:val="28"/>
          <w:szCs w:val="28"/>
        </w:rPr>
        <w:t>進</w:t>
      </w:r>
      <w:r w:rsidR="00223AA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實驗室研究生、論文生或專兼任研究助理，均</w:t>
      </w:r>
      <w:r w:rsidR="00ED4F7D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參加校方所舉辦之</w:t>
      </w:r>
      <w:r w:rsidR="00223AAA">
        <w:rPr>
          <w:rFonts w:ascii="Times New Roman" w:eastAsia="標楷體" w:hAnsi="Times New Roman" w:cs="Times New Roman" w:hint="eastAsia"/>
          <w:sz w:val="28"/>
          <w:szCs w:val="28"/>
        </w:rPr>
        <w:t>實驗安全衛生教育訓練</w:t>
      </w:r>
      <w:r w:rsidR="006A5A0E">
        <w:rPr>
          <w:rFonts w:ascii="Times New Roman" w:eastAsia="標楷體" w:hAnsi="Times New Roman" w:cs="Times New Roman" w:hint="eastAsia"/>
          <w:sz w:val="28"/>
          <w:szCs w:val="28"/>
        </w:rPr>
        <w:t>及緩降梯操作演練暨</w:t>
      </w:r>
      <w:r w:rsidR="00EE1764">
        <w:rPr>
          <w:rFonts w:ascii="Times New Roman" w:eastAsia="標楷體" w:hAnsi="Times New Roman" w:cs="Times New Roman" w:hint="eastAsia"/>
          <w:sz w:val="28"/>
          <w:szCs w:val="28"/>
        </w:rPr>
        <w:t>緊急應變用品</w:t>
      </w:r>
      <w:r w:rsidR="006A5A0E">
        <w:rPr>
          <w:rFonts w:ascii="Times New Roman" w:eastAsia="標楷體" w:hAnsi="Times New Roman" w:cs="Times New Roman" w:hint="eastAsia"/>
          <w:sz w:val="28"/>
          <w:szCs w:val="28"/>
        </w:rPr>
        <w:t>櫃使用說明</w:t>
      </w:r>
      <w:r w:rsidR="008B66C6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23AAA">
        <w:rPr>
          <w:rFonts w:ascii="Times New Roman" w:eastAsia="標楷體" w:hAnsi="Times New Roman" w:cs="Times New Roman" w:hint="eastAsia"/>
          <w:sz w:val="28"/>
          <w:szCs w:val="28"/>
        </w:rPr>
        <w:t>另外，若有進行動物或人體試驗者，應取得檢定核可證照方得進行實驗。</w:t>
      </w:r>
      <w:proofErr w:type="gramStart"/>
      <w:r w:rsidR="00741A0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741A03">
        <w:rPr>
          <w:rFonts w:ascii="Times New Roman" w:eastAsia="標楷體" w:hAnsi="Times New Roman" w:cs="Times New Roman" w:hint="eastAsia"/>
          <w:sz w:val="28"/>
          <w:szCs w:val="28"/>
        </w:rPr>
        <w:t>目前本校僅辦理動物實驗教育訓練，</w:t>
      </w:r>
      <w:r w:rsidR="00ED4F7D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741A03">
        <w:rPr>
          <w:rFonts w:ascii="Times New Roman" w:eastAsia="標楷體" w:hAnsi="Times New Roman" w:cs="Times New Roman" w:hint="eastAsia"/>
          <w:sz w:val="28"/>
          <w:szCs w:val="28"/>
        </w:rPr>
        <w:t>人體試驗</w:t>
      </w:r>
      <w:r w:rsidR="00ED4F7D">
        <w:rPr>
          <w:rFonts w:ascii="Times New Roman" w:eastAsia="標楷體" w:hAnsi="Times New Roman" w:cs="Times New Roman" w:hint="eastAsia"/>
          <w:sz w:val="28"/>
          <w:szCs w:val="28"/>
        </w:rPr>
        <w:t>研究者，可參與校外相關講習，或參考以下網址</w:t>
      </w:r>
      <w:hyperlink r:id="rId9" w:history="1">
        <w:r w:rsidR="00ED4F7D" w:rsidRPr="004C442F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https://www.citiprogram.org/</w:t>
        </w:r>
      </w:hyperlink>
      <w:r w:rsidR="00ED4F7D">
        <w:rPr>
          <w:rFonts w:ascii="Times New Roman" w:eastAsia="標楷體" w:hAnsi="Times New Roman" w:cs="Times New Roman" w:hint="eastAsia"/>
          <w:sz w:val="28"/>
          <w:szCs w:val="28"/>
        </w:rPr>
        <w:t>，自行上網進行檢</w:t>
      </w:r>
      <w:r w:rsidR="00741A03">
        <w:rPr>
          <w:rFonts w:ascii="Times New Roman" w:eastAsia="標楷體" w:hAnsi="Times New Roman" w:cs="Times New Roman" w:hint="eastAsia"/>
          <w:sz w:val="28"/>
          <w:szCs w:val="28"/>
        </w:rPr>
        <w:t>核</w:t>
      </w:r>
      <w:proofErr w:type="gramStart"/>
      <w:r w:rsidR="00741A0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676B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6034" w:rsidRPr="001E50C6" w:rsidRDefault="00E16034" w:rsidP="00E16034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熟悉</w:t>
      </w:r>
      <w:r w:rsidR="009F0CC4" w:rsidRPr="001E50C6">
        <w:rPr>
          <w:rFonts w:ascii="Times New Roman" w:eastAsia="標楷體" w:hAnsi="Times New Roman" w:cs="Times New Roman" w:hint="eastAsia"/>
          <w:sz w:val="28"/>
          <w:szCs w:val="28"/>
        </w:rPr>
        <w:t>實驗室</w:t>
      </w:r>
      <w:r w:rsidR="00056508" w:rsidRPr="001E50C6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F0CC4" w:rsidRPr="001E50C6">
        <w:rPr>
          <w:rFonts w:ascii="Times New Roman" w:eastAsia="標楷體" w:hAnsi="Times New Roman" w:cs="Times New Roman" w:hint="eastAsia"/>
          <w:sz w:val="28"/>
          <w:szCs w:val="28"/>
        </w:rPr>
        <w:t>系館</w:t>
      </w:r>
      <w:r w:rsidR="00EE0773" w:rsidRPr="001E50C6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C4D51" w:rsidRPr="001E50C6"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Pr="001E50C6">
        <w:rPr>
          <w:rFonts w:ascii="Times New Roman" w:eastAsia="標楷體" w:hAnsi="Times New Roman" w:cs="Times New Roman"/>
          <w:sz w:val="28"/>
          <w:szCs w:val="28"/>
        </w:rPr>
        <w:t>環境，察看緊急沖洗站、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洗眼站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、滅火器、急救箱及安全梯等的位置，以確保進行任何實驗之安全。任何意外事件應立即</w:t>
      </w:r>
      <w:r w:rsidR="001C4D51" w:rsidRPr="001E50C6"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="001C4D51" w:rsidRPr="001E50C6">
        <w:rPr>
          <w:rFonts w:ascii="Times New Roman" w:eastAsia="標楷體" w:hAnsi="Times New Roman" w:cs="Times New Roman"/>
          <w:sz w:val="28"/>
          <w:szCs w:val="28"/>
        </w:rPr>
        <w:t>師長</w:t>
      </w:r>
      <w:r w:rsidRPr="001E50C6">
        <w:rPr>
          <w:rFonts w:ascii="Times New Roman" w:eastAsia="標楷體" w:hAnsi="Times New Roman" w:cs="Times New Roman"/>
          <w:sz w:val="28"/>
          <w:szCs w:val="28"/>
        </w:rPr>
        <w:t>報告</w:t>
      </w:r>
      <w:r w:rsidR="0065393C" w:rsidRPr="001E50C6">
        <w:rPr>
          <w:rFonts w:ascii="Times New Roman" w:eastAsia="標楷體" w:hAnsi="Times New Roman" w:cs="Times New Roman"/>
          <w:sz w:val="28"/>
          <w:szCs w:val="28"/>
        </w:rPr>
        <w:t>，並應熟知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其使用</w:t>
      </w:r>
      <w:r w:rsidR="00D978A1" w:rsidRPr="001E50C6">
        <w:rPr>
          <w:rFonts w:ascii="Times New Roman" w:eastAsia="標楷體" w:hAnsi="Times New Roman" w:cs="Times New Roman" w:hint="eastAsia"/>
          <w:sz w:val="28"/>
          <w:szCs w:val="28"/>
        </w:rPr>
        <w:t>方法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65393C" w:rsidRPr="001E50C6">
        <w:rPr>
          <w:rFonts w:ascii="Times New Roman" w:eastAsia="標楷體" w:hAnsi="Times New Roman" w:cs="Times New Roman"/>
          <w:sz w:val="28"/>
          <w:szCs w:val="28"/>
        </w:rPr>
        <w:t>相關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應變措施。</w:t>
      </w:r>
    </w:p>
    <w:p w:rsidR="00E16034" w:rsidRPr="001E50C6" w:rsidRDefault="00BF5664" w:rsidP="00630EF3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在實驗室內禁止吸</w:t>
      </w:r>
      <w:r w:rsidR="00AF2F72">
        <w:rPr>
          <w:rFonts w:ascii="Times New Roman" w:eastAsia="標楷體" w:hAnsi="Times New Roman" w:cs="Times New Roman" w:hint="eastAsia"/>
          <w:sz w:val="28"/>
          <w:szCs w:val="28"/>
        </w:rPr>
        <w:t>烟</w:t>
      </w:r>
      <w:r w:rsidRPr="001E50C6">
        <w:rPr>
          <w:rFonts w:ascii="Times New Roman" w:eastAsia="標楷體" w:hAnsi="Times New Roman" w:cs="Times New Roman"/>
          <w:sz w:val="28"/>
          <w:szCs w:val="28"/>
        </w:rPr>
        <w:t>、飲食、化妝、嬉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鬧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，食物</w:t>
      </w:r>
      <w:r w:rsidR="00630EF3" w:rsidRPr="001E50C6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飲料</w:t>
      </w:r>
      <w:r w:rsidR="00630EF3" w:rsidRPr="001E50C6">
        <w:rPr>
          <w:rFonts w:ascii="Times New Roman" w:eastAsia="標楷體" w:hAnsi="Times New Roman" w:cs="Times New Roman" w:hint="eastAsia"/>
          <w:sz w:val="28"/>
          <w:szCs w:val="28"/>
        </w:rPr>
        <w:t>禁止</w:t>
      </w:r>
      <w:r w:rsidRPr="001E50C6">
        <w:rPr>
          <w:rFonts w:ascii="Times New Roman" w:eastAsia="標楷體" w:hAnsi="Times New Roman" w:cs="Times New Roman" w:hint="eastAsia"/>
          <w:kern w:val="0"/>
          <w:sz w:val="27"/>
          <w:szCs w:val="27"/>
        </w:rPr>
        <w:t>與</w:t>
      </w:r>
      <w:r w:rsidR="00630EF3" w:rsidRPr="001E50C6">
        <w:rPr>
          <w:rFonts w:ascii="Times New Roman" w:eastAsia="標楷體" w:hAnsi="Times New Roman" w:cs="Times New Roman"/>
          <w:kern w:val="0"/>
          <w:sz w:val="27"/>
          <w:szCs w:val="27"/>
        </w:rPr>
        <w:t>化學藥品或試劑之冰箱或儲藏櫃</w:t>
      </w:r>
      <w:r w:rsidRPr="001E50C6">
        <w:rPr>
          <w:rFonts w:ascii="Times New Roman" w:eastAsia="標楷體" w:hAnsi="Times New Roman" w:cs="Times New Roman" w:hint="eastAsia"/>
          <w:kern w:val="0"/>
          <w:sz w:val="27"/>
          <w:szCs w:val="27"/>
        </w:rPr>
        <w:t>一起存放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，實驗桌上勿堆放書包、書籍、衣服外套及雜物等。</w:t>
      </w:r>
    </w:p>
    <w:p w:rsidR="00C85887" w:rsidRPr="001E50C6" w:rsidRDefault="00C85887" w:rsidP="00C85887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實驗室內穿著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Pr="001E50C6">
        <w:rPr>
          <w:rFonts w:ascii="Times New Roman" w:eastAsia="標楷體" w:hAnsi="Times New Roman" w:cs="Times New Roman"/>
          <w:sz w:val="28"/>
          <w:szCs w:val="28"/>
        </w:rPr>
        <w:t>實驗衣，配戴眼鏡或安全護目鏡。留長髮者，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戴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帽套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並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將頭髮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捲入套內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，或以橡皮圈束於後，以防止引火危險或污染實驗。</w:t>
      </w:r>
    </w:p>
    <w:p w:rsidR="004A0D78" w:rsidRPr="004A0D78" w:rsidRDefault="00E16034" w:rsidP="004A0D78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所有實驗儀器、耗材、藥品等均屬</w:t>
      </w:r>
      <w:r w:rsidR="00BF5664" w:rsidRPr="001E50C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1E50C6">
        <w:rPr>
          <w:rFonts w:ascii="Times New Roman" w:eastAsia="標楷體" w:hAnsi="Times New Roman" w:cs="Times New Roman"/>
          <w:sz w:val="28"/>
          <w:szCs w:val="28"/>
        </w:rPr>
        <w:t>實驗室所有，不得攜出實驗</w:t>
      </w:r>
      <w:r w:rsidRPr="001E50C6">
        <w:rPr>
          <w:rFonts w:ascii="Times New Roman" w:eastAsia="標楷體" w:hAnsi="Times New Roman" w:cs="Times New Roman"/>
          <w:sz w:val="28"/>
          <w:szCs w:val="28"/>
        </w:rPr>
        <w:lastRenderedPageBreak/>
        <w:t>室外。公用儀器請善加愛惜使用，實驗前後，請把工作區域清理擦拭，並隨時保持環境清潔。</w:t>
      </w:r>
      <w:r w:rsidR="004A0D78" w:rsidRPr="001E50C6">
        <w:rPr>
          <w:rFonts w:ascii="Times New Roman" w:eastAsia="標楷體" w:hAnsi="Times New Roman" w:cs="Times New Roman"/>
          <w:sz w:val="28"/>
          <w:szCs w:val="28"/>
        </w:rPr>
        <w:t>打翻任何藥品試劑及器皿時，請隨即清理</w:t>
      </w:r>
      <w:r w:rsidR="004A0D7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A0D78" w:rsidRDefault="001E50C6" w:rsidP="004A0D78">
      <w:pPr>
        <w:pStyle w:val="a6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最後一位離開實驗室的同學需</w:t>
      </w:r>
      <w:r>
        <w:rPr>
          <w:rFonts w:ascii="Times New Roman" w:eastAsia="標楷體" w:hAnsi="Times New Roman" w:cs="Times New Roman"/>
          <w:sz w:val="28"/>
          <w:szCs w:val="28"/>
        </w:rPr>
        <w:t>關閉</w:t>
      </w:r>
      <w:r>
        <w:rPr>
          <w:rFonts w:ascii="Times New Roman" w:eastAsia="標楷體" w:hAnsi="Times New Roman" w:cs="Times New Roman" w:hint="eastAsia"/>
          <w:sz w:val="28"/>
          <w:szCs w:val="28"/>
        </w:rPr>
        <w:t>不使用之</w:t>
      </w:r>
      <w:r>
        <w:rPr>
          <w:rFonts w:ascii="Times New Roman" w:eastAsia="標楷體" w:hAnsi="Times New Roman" w:cs="Times New Roman"/>
          <w:sz w:val="28"/>
          <w:szCs w:val="28"/>
        </w:rPr>
        <w:t>燈</w:t>
      </w:r>
      <w:r>
        <w:rPr>
          <w:rFonts w:ascii="Times New Roman" w:eastAsia="標楷體" w:hAnsi="Times New Roman" w:cs="Times New Roman" w:hint="eastAsia"/>
          <w:sz w:val="28"/>
          <w:szCs w:val="28"/>
        </w:rPr>
        <w:t>火與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冷氣，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記得洗手。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16034" w:rsidRPr="00E16034" w:rsidRDefault="00E16034" w:rsidP="00E16034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16034" w:rsidRPr="00602D09" w:rsidRDefault="00E16034" w:rsidP="00E16034">
      <w:pPr>
        <w:pStyle w:val="a6"/>
        <w:numPr>
          <w:ilvl w:val="0"/>
          <w:numId w:val="9"/>
        </w:numPr>
        <w:ind w:leftChars="0" w:left="426" w:hanging="426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一般藥品使用</w:t>
      </w: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</w:p>
    <w:p w:rsidR="00E16034" w:rsidRPr="001E50C6" w:rsidRDefault="00E16034" w:rsidP="00E16034">
      <w:pPr>
        <w:pStyle w:val="a6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使用任何藥品，請先看清楚標示、注意事項，翻閱物質安全資料表</w:t>
      </w:r>
      <w:proofErr w:type="gramStart"/>
      <w:r w:rsidR="00F00E07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F068BE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="00F00E07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HYPERLINK "http://english.che.ncku.edu.tw/ChEng/modules/newbb/ChEDeptEnglish/DataBase/MSDS.htm" </w:instrText>
      </w:r>
      <w:r w:rsidR="00F068BE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separate"/>
      </w:r>
      <w:r w:rsidR="00F00E07" w:rsidRPr="00F00E07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t>MSDS: Material Safety Data Sheet</w:t>
      </w:r>
      <w:r w:rsidR="00F068BE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proofErr w:type="gramStart"/>
      <w:r w:rsidR="00F00E07" w:rsidRPr="00F00E0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="00F00E0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00E07">
        <w:rPr>
          <w:rFonts w:ascii="Times New Roman" w:eastAsia="標楷體" w:hAnsi="Times New Roman" w:cs="Times New Roman" w:hint="eastAsia"/>
          <w:sz w:val="28"/>
          <w:szCs w:val="28"/>
        </w:rPr>
        <w:t>GHS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或</w:t>
      </w:r>
      <w:r w:rsidRPr="001E50C6">
        <w:rPr>
          <w:rFonts w:ascii="Times New Roman" w:eastAsia="標楷體" w:hAnsi="Times New Roman" w:cs="Times New Roman"/>
          <w:sz w:val="28"/>
          <w:szCs w:val="28"/>
        </w:rPr>
        <w:t>Merck Index</w:t>
      </w:r>
      <w:r w:rsidRPr="001E50C6">
        <w:rPr>
          <w:rFonts w:ascii="Times New Roman" w:eastAsia="標楷體" w:hAnsi="Times New Roman" w:cs="Times New Roman"/>
          <w:sz w:val="28"/>
          <w:szCs w:val="28"/>
        </w:rPr>
        <w:t>，查明</w:t>
      </w:r>
      <w:r w:rsidR="00F00E07">
        <w:rPr>
          <w:rFonts w:ascii="Times New Roman" w:eastAsia="標楷體" w:hAnsi="Times New Roman" w:cs="Times New Roman" w:hint="eastAsia"/>
          <w:sz w:val="28"/>
          <w:szCs w:val="28"/>
        </w:rPr>
        <w:t>該藥物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是否對人體造成傷害，使用完畢請放回原位。</w:t>
      </w:r>
    </w:p>
    <w:p w:rsidR="00E16034" w:rsidRPr="001E50C6" w:rsidRDefault="00E16034" w:rsidP="00E16034">
      <w:pPr>
        <w:pStyle w:val="a6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新配製的試劑請清楚註明內容物、濃度、注意事項及配製日期，為避免污染，勿將未用完的藥劑倒回容器內。</w:t>
      </w:r>
    </w:p>
    <w:p w:rsidR="00E16034" w:rsidRPr="001E50C6" w:rsidRDefault="00D978A1" w:rsidP="00E16034">
      <w:pPr>
        <w:pStyle w:val="a6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揮發性、腐蝕性、有毒溶劑（如甲醇、丙酮、醋酸、氯仿、鹽酸、硫酸、</w:t>
      </w:r>
      <w:r w:rsidR="00BF5664" w:rsidRPr="001E50C6">
        <w:rPr>
          <w:rFonts w:ascii="Times New Roman" w:eastAsia="標楷體" w:hAnsi="Times New Roman" w:cs="Times New Roman"/>
          <w:sz w:val="28"/>
          <w:szCs w:val="28"/>
        </w:rPr>
        <w:t>β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-</w:t>
      </w:r>
      <w:proofErr w:type="spellStart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mercaptoethanol</w:t>
      </w:r>
      <w:proofErr w:type="spellEnd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、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formaldehyde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酚</w:t>
      </w:r>
      <w:proofErr w:type="gramEnd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等）</w:t>
      </w:r>
      <w:proofErr w:type="gramStart"/>
      <w:r w:rsidRPr="001E50C6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戴手套</w:t>
      </w:r>
      <w:proofErr w:type="gramEnd"/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在排煙櫃中量取配製，取用完應隨即蓋好蓋子，若不小心打翻試劑，</w:t>
      </w:r>
      <w:r w:rsidR="00F00E07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馬上處理。有毒、致癌藥劑例如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acrylamide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（神經毒）、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ethidium bromide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（突變劑）、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SDS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（粉塵）</w:t>
      </w:r>
      <w:proofErr w:type="gramStart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請戴手套</w:t>
      </w:r>
      <w:proofErr w:type="gramEnd"/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及口罩取用，並勿到處污染，脫下手套後，養成洗手的好習慣。</w:t>
      </w:r>
    </w:p>
    <w:p w:rsidR="00E16034" w:rsidRPr="001E50C6" w:rsidRDefault="00E16034" w:rsidP="00E16034">
      <w:pPr>
        <w:pStyle w:val="a6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接觸到病原材料或細菌，應迅速消毒。所有被污染的物品，在丟棄或重覆使用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前均需先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滅菌，欲高壓滅菌之物品，應放在專用的</w:t>
      </w:r>
      <w:r w:rsidRPr="001E50C6">
        <w:rPr>
          <w:rFonts w:ascii="Times New Roman" w:eastAsia="標楷體" w:hAnsi="Times New Roman" w:cs="Times New Roman"/>
          <w:sz w:val="28"/>
          <w:szCs w:val="28"/>
        </w:rPr>
        <w:lastRenderedPageBreak/>
        <w:t>收集桶內。固體培養基或洋菜膠不得倒入水槽或下水道中。</w:t>
      </w:r>
    </w:p>
    <w:p w:rsidR="00D978A1" w:rsidRPr="001E50C6" w:rsidRDefault="00D978A1" w:rsidP="00D978A1">
      <w:pPr>
        <w:pStyle w:val="Web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配製酸鹼試藥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或試劑</w:t>
      </w:r>
      <w:r w:rsidRPr="001E50C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應將酸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、鹼慢慢滴入水中，不可直接將水加於試劑內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，以避免酸鹼性試藥或試劑溢出灼傷</w:t>
      </w:r>
      <w:r w:rsidRPr="001E50C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5393C" w:rsidRPr="001E50C6" w:rsidRDefault="0065393C" w:rsidP="004C4960">
      <w:pPr>
        <w:pStyle w:val="Web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使用過之藥品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或試劑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應依規定處理，不得任意棄置或倒入水槽。</w:t>
      </w:r>
      <w:r w:rsidRPr="001E50C6">
        <w:rPr>
          <w:rFonts w:ascii="Times New Roman" w:eastAsia="標楷體" w:hAnsi="Times New Roman" w:cs="Times New Roman"/>
          <w:sz w:val="28"/>
          <w:szCs w:val="28"/>
        </w:rPr>
        <w:t>(</w:t>
      </w:r>
      <w:r w:rsidRPr="001E50C6">
        <w:rPr>
          <w:rFonts w:ascii="Times New Roman" w:eastAsia="標楷體" w:hAnsi="Times New Roman" w:cs="Times New Roman"/>
          <w:sz w:val="28"/>
          <w:szCs w:val="28"/>
        </w:rPr>
        <w:t>參見「</w:t>
      </w:r>
      <w:r w:rsidR="004C4960" w:rsidRPr="004C496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私立輔仁大學實驗室廢棄物處理清運流程圖</w:t>
      </w:r>
      <w:r w:rsidRPr="001E50C6">
        <w:rPr>
          <w:rFonts w:ascii="Times New Roman" w:eastAsia="標楷體" w:hAnsi="Times New Roman" w:cs="Times New Roman"/>
          <w:sz w:val="28"/>
          <w:szCs w:val="28"/>
        </w:rPr>
        <w:t>」</w:t>
      </w:r>
      <w:r w:rsidRPr="001E50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5393C" w:rsidRPr="0065393C" w:rsidRDefault="0065393C" w:rsidP="0065393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16034" w:rsidRPr="00602D09" w:rsidRDefault="00E16034" w:rsidP="00E16034">
      <w:pPr>
        <w:pStyle w:val="a6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管制藥品的使用</w:t>
      </w:r>
    </w:p>
    <w:p w:rsidR="00E16034" w:rsidRPr="001E50C6" w:rsidRDefault="0065393C" w:rsidP="00E16034">
      <w:pPr>
        <w:pStyle w:val="a6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毒性化學物質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貯存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藥品櫃中，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並且該</w:t>
      </w:r>
      <w:proofErr w:type="gramStart"/>
      <w:r w:rsidRPr="001E50C6">
        <w:rPr>
          <w:rFonts w:ascii="Times New Roman" w:eastAsia="標楷體" w:hAnsi="Times New Roman" w:cs="Times New Roman" w:hint="eastAsia"/>
          <w:sz w:val="28"/>
          <w:szCs w:val="28"/>
        </w:rPr>
        <w:t>藥品櫃須上鎖</w:t>
      </w:r>
      <w:proofErr w:type="gramEnd"/>
      <w:r w:rsidRPr="001E50C6">
        <w:rPr>
          <w:rFonts w:ascii="Times New Roman" w:eastAsia="標楷體" w:hAnsi="Times New Roman" w:cs="Times New Roman" w:hint="eastAsia"/>
          <w:sz w:val="28"/>
          <w:szCs w:val="28"/>
        </w:rPr>
        <w:t>，而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開啟毒性化學物質藥品櫃的鑰匙由實驗室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專人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負責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保管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00E07" w:rsidRDefault="0065393C" w:rsidP="0065393C">
      <w:pPr>
        <w:pStyle w:val="a6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取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毒性化學物質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務必</w:t>
      </w:r>
      <w:r w:rsidRPr="001E50C6">
        <w:rPr>
          <w:rFonts w:ascii="Times New Roman" w:eastAsia="標楷體" w:hAnsi="Times New Roman" w:cs="Times New Roman"/>
          <w:sz w:val="28"/>
          <w:szCs w:val="28"/>
        </w:rPr>
        <w:t>登記</w:t>
      </w:r>
      <w:r w:rsidRPr="001E50C6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Pr="001E50C6">
        <w:rPr>
          <w:rFonts w:ascii="Times New Roman" w:eastAsia="標楷體" w:hAnsi="Times New Roman" w:cs="Times New Roman"/>
          <w:sz w:val="28"/>
          <w:szCs w:val="28"/>
        </w:rPr>
        <w:t>記錄及簽名</w:t>
      </w:r>
      <w:r w:rsidR="00F00E0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6034" w:rsidRPr="001E50C6" w:rsidRDefault="00F00E07" w:rsidP="0065393C">
      <w:pPr>
        <w:pStyle w:val="a6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毒性與有害的</w:t>
      </w:r>
      <w:r w:rsidR="0065393C" w:rsidRPr="001E50C6">
        <w:rPr>
          <w:rFonts w:ascii="Times New Roman" w:eastAsia="標楷體" w:hAnsi="Times New Roman" w:cs="Times New Roman"/>
          <w:sz w:val="28"/>
          <w:szCs w:val="28"/>
        </w:rPr>
        <w:t>廢棄物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依規定處理</w:t>
      </w:r>
      <w:r>
        <w:rPr>
          <w:rFonts w:ascii="Times New Roman" w:eastAsia="標楷體" w:hAnsi="Times New Roman" w:cs="Times New Roman" w:hint="eastAsia"/>
          <w:sz w:val="28"/>
          <w:szCs w:val="28"/>
        </w:rPr>
        <w:t>與儲存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E16034" w:rsidRPr="001E50C6">
        <w:rPr>
          <w:rFonts w:ascii="Times New Roman" w:eastAsia="標楷體" w:hAnsi="Times New Roman" w:cs="Times New Roman"/>
          <w:sz w:val="28"/>
          <w:szCs w:val="28"/>
        </w:rPr>
        <w:t>依申報要點規定，定時辦理運作記錄的製作及申報事項。</w:t>
      </w:r>
    </w:p>
    <w:p w:rsidR="00E16034" w:rsidRDefault="00E16034" w:rsidP="00E16034">
      <w:pPr>
        <w:pStyle w:val="a6"/>
        <w:ind w:leftChars="0" w:left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16034" w:rsidRPr="00602D09" w:rsidRDefault="00E16034" w:rsidP="00E16034">
      <w:pPr>
        <w:pStyle w:val="a6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儀器</w:t>
      </w:r>
      <w:r w:rsidR="0065393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使用</w:t>
      </w: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使用儀器要按規定方法使用並且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預約</w:t>
      </w:r>
      <w:r w:rsidRPr="001E50C6">
        <w:rPr>
          <w:rFonts w:ascii="Times New Roman" w:eastAsia="標楷體" w:hAnsi="Times New Roman" w:cs="Times New Roman"/>
          <w:sz w:val="28"/>
          <w:szCs w:val="28"/>
        </w:rPr>
        <w:t>登記。</w:t>
      </w:r>
      <w:r w:rsidRPr="001E50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使用儀器前先瞭解其性能、配備及正確操作方法，零件及附件嚴禁拆卸，勿私自調整，並注意插座電壓（</w:t>
      </w:r>
      <w:r w:rsidRPr="001E50C6">
        <w:rPr>
          <w:rFonts w:ascii="Times New Roman" w:eastAsia="標楷體" w:hAnsi="Times New Roman" w:cs="Times New Roman"/>
          <w:sz w:val="28"/>
          <w:szCs w:val="28"/>
        </w:rPr>
        <w:t>110V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或</w:t>
      </w:r>
      <w:r w:rsidRPr="001E50C6">
        <w:rPr>
          <w:rFonts w:ascii="Times New Roman" w:eastAsia="標楷體" w:hAnsi="Times New Roman" w:cs="Times New Roman"/>
          <w:sz w:val="28"/>
          <w:szCs w:val="28"/>
        </w:rPr>
        <w:t>220V</w:t>
      </w:r>
      <w:r w:rsidRPr="001E50C6">
        <w:rPr>
          <w:rFonts w:ascii="Times New Roman" w:eastAsia="標楷體" w:hAnsi="Times New Roman" w:cs="Times New Roman"/>
          <w:sz w:val="28"/>
          <w:szCs w:val="28"/>
        </w:rPr>
        <w:t>）之類別，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手濕切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勿開啟電源。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使用離心機時，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離心管要兩兩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對稱、重量平衡，鎖緊離心轉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陀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。冷凍離心機於開機狀態時，務必蓋緊蓋子，以保持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離心槽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之低溫</w:t>
      </w:r>
      <w:r w:rsidRPr="001E50C6">
        <w:rPr>
          <w:rFonts w:ascii="Times New Roman" w:eastAsia="標楷體" w:hAnsi="Times New Roman" w:cs="Times New Roman"/>
          <w:sz w:val="28"/>
          <w:szCs w:val="28"/>
        </w:rPr>
        <w:lastRenderedPageBreak/>
        <w:t>並避免結霜。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使用微波爐、滅菌斧、電磁爐、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乾浴器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等，使用前熟悉操作手續，嚴防爆炸或燙傷。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無菌操作台內的酒精有機溶劑及易燃物（如甲醇、乙醇、乙醚、瓦斯等）要遠離火苗，不可留置火焰燃燒，萬一著火，應力持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鎮定，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沈著處理。酒精或乙醚等著火時，應使用泡沫滅火劑或濕毛巾覆蓋，勿使用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水沖潑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16034" w:rsidRPr="001E50C6" w:rsidRDefault="00E16034" w:rsidP="00E16034">
      <w:pPr>
        <w:pStyle w:val="a6"/>
        <w:numPr>
          <w:ilvl w:val="0"/>
          <w:numId w:val="1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實驗完畢之細菌培養液（基），雖非病原菌，但含某些抗藥性的質體，</w:t>
      </w:r>
      <w:r w:rsidR="0065393C" w:rsidRPr="001E50C6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隨意倒棄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，需經高壓滅菌後才可丟棄。實驗中若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被菌液濺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到，可用大量清水沖洗並以</w:t>
      </w:r>
      <w:r w:rsidRPr="001E50C6">
        <w:rPr>
          <w:rFonts w:ascii="Times New Roman" w:eastAsia="標楷體" w:hAnsi="Times New Roman" w:cs="Times New Roman"/>
          <w:sz w:val="28"/>
          <w:szCs w:val="28"/>
        </w:rPr>
        <w:t>70</w:t>
      </w:r>
      <w:r w:rsidR="00BF5664" w:rsidRPr="001E50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E50C6">
        <w:rPr>
          <w:rFonts w:ascii="Times New Roman" w:eastAsia="標楷體" w:hAnsi="Times New Roman" w:cs="Times New Roman"/>
          <w:sz w:val="28"/>
          <w:szCs w:val="28"/>
        </w:rPr>
        <w:t>%</w:t>
      </w:r>
      <w:r w:rsidRPr="001E50C6">
        <w:rPr>
          <w:rFonts w:ascii="Times New Roman" w:eastAsia="標楷體" w:hAnsi="Times New Roman" w:cs="Times New Roman"/>
          <w:sz w:val="28"/>
          <w:szCs w:val="28"/>
        </w:rPr>
        <w:t>酒精消毒擦拭，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若菌液在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桌面或地面翻覆，可以</w:t>
      </w:r>
      <w:r w:rsidRPr="001E50C6">
        <w:rPr>
          <w:rFonts w:ascii="Times New Roman" w:eastAsia="標楷體" w:hAnsi="Times New Roman" w:cs="Times New Roman"/>
          <w:sz w:val="28"/>
          <w:szCs w:val="28"/>
        </w:rPr>
        <w:t>10</w:t>
      </w:r>
      <w:r w:rsidR="00BF5664" w:rsidRPr="001E50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E50C6">
        <w:rPr>
          <w:rFonts w:ascii="Times New Roman" w:eastAsia="標楷體" w:hAnsi="Times New Roman" w:cs="Times New Roman"/>
          <w:sz w:val="28"/>
          <w:szCs w:val="28"/>
        </w:rPr>
        <w:t>%</w:t>
      </w:r>
      <w:r w:rsidRPr="001E50C6">
        <w:rPr>
          <w:rFonts w:ascii="Times New Roman" w:eastAsia="標楷體" w:hAnsi="Times New Roman" w:cs="Times New Roman"/>
          <w:sz w:val="28"/>
          <w:szCs w:val="28"/>
        </w:rPr>
        <w:t>漂白水擦拭清理。</w:t>
      </w:r>
    </w:p>
    <w:p w:rsidR="00773B5A" w:rsidRPr="00BF5664" w:rsidRDefault="00773B5A" w:rsidP="000E5F68">
      <w:pPr>
        <w:pStyle w:val="Web"/>
        <w:rPr>
          <w:rFonts w:ascii="Times New Roman" w:hAnsi="Times New Roman" w:cs="Times New Roman"/>
          <w:sz w:val="28"/>
          <w:szCs w:val="28"/>
        </w:rPr>
      </w:pPr>
    </w:p>
    <w:p w:rsidR="000E5F68" w:rsidRPr="00C85887" w:rsidRDefault="000E5F68" w:rsidP="00177CFF">
      <w:pPr>
        <w:pStyle w:val="Web"/>
        <w:numPr>
          <w:ilvl w:val="0"/>
          <w:numId w:val="9"/>
        </w:numPr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85887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安全管理</w:t>
      </w:r>
    </w:p>
    <w:p w:rsidR="000E5F68" w:rsidRPr="00BF5664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要絕對遵守『嚴禁煙火』之標示。</w:t>
      </w:r>
    </w:p>
    <w:p w:rsidR="000E5F68" w:rsidRPr="00BF5664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各實驗應建立所使用化學品之『物質安全資料表』，實驗者應在實驗之前就先閱讀有關之資料。</w:t>
      </w:r>
    </w:p>
    <w:p w:rsidR="000E5F68" w:rsidRPr="00BF5664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許多化學品具</w:t>
      </w:r>
      <w:r w:rsidR="00177CFF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BF5664">
        <w:rPr>
          <w:rFonts w:ascii="Times New Roman" w:eastAsia="標楷體" w:hAnsi="Times New Roman" w:cs="Times New Roman"/>
          <w:sz w:val="28"/>
          <w:szCs w:val="28"/>
        </w:rPr>
        <w:t>『有</w:t>
      </w:r>
      <w:proofErr w:type="gramStart"/>
      <w:r w:rsidRPr="00BF566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BF5664">
        <w:rPr>
          <w:rFonts w:ascii="Times New Roman" w:eastAsia="標楷體" w:hAnsi="Times New Roman" w:cs="Times New Roman"/>
          <w:sz w:val="28"/>
          <w:szCs w:val="28"/>
        </w:rPr>
        <w:t>相容性』，即</w:t>
      </w:r>
      <w:r w:rsidR="00D978A1">
        <w:rPr>
          <w:rFonts w:ascii="Times New Roman" w:eastAsia="標楷體" w:hAnsi="Times New Roman" w:cs="Times New Roman" w:hint="eastAsia"/>
          <w:sz w:val="28"/>
          <w:szCs w:val="28"/>
        </w:rPr>
        <w:t>是</w:t>
      </w:r>
      <w:proofErr w:type="gramStart"/>
      <w:r w:rsidR="00D978A1">
        <w:rPr>
          <w:rFonts w:ascii="Times New Roman" w:eastAsia="標楷體" w:hAnsi="Times New Roman" w:cs="Times New Roman"/>
          <w:sz w:val="28"/>
          <w:szCs w:val="28"/>
        </w:rPr>
        <w:t>兩者相混</w:t>
      </w:r>
      <w:r w:rsidR="00D978A1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BF5664">
        <w:rPr>
          <w:rFonts w:ascii="Times New Roman" w:eastAsia="標楷體" w:hAnsi="Times New Roman" w:cs="Times New Roman"/>
          <w:sz w:val="28"/>
          <w:szCs w:val="28"/>
        </w:rPr>
        <w:t>會</w:t>
      </w:r>
      <w:proofErr w:type="gramEnd"/>
      <w:r w:rsidRPr="00BF5664">
        <w:rPr>
          <w:rFonts w:ascii="Times New Roman" w:eastAsia="標楷體" w:hAnsi="Times New Roman" w:cs="Times New Roman"/>
          <w:sz w:val="28"/>
          <w:szCs w:val="28"/>
        </w:rPr>
        <w:t>產生熱、起火、放出有害氣體、劇烈反應、甚或爆炸等後果</w:t>
      </w:r>
      <w:r w:rsidR="00D978A1">
        <w:rPr>
          <w:rFonts w:ascii="Times New Roman" w:eastAsia="標楷體" w:hAnsi="Times New Roman" w:cs="Times New Roman" w:hint="eastAsia"/>
          <w:sz w:val="28"/>
          <w:szCs w:val="28"/>
        </w:rPr>
        <w:t>。務必遵守</w:t>
      </w:r>
      <w:r w:rsidRPr="00BF5664">
        <w:rPr>
          <w:rFonts w:ascii="Times New Roman" w:eastAsia="標楷體" w:hAnsi="Times New Roman" w:cs="Times New Roman"/>
          <w:sz w:val="28"/>
          <w:szCs w:val="28"/>
        </w:rPr>
        <w:t>之「實驗室安全衛生及環保手冊」</w:t>
      </w:r>
      <w:r w:rsidR="00190330">
        <w:rPr>
          <w:rFonts w:ascii="Times New Roman" w:eastAsia="標楷體" w:hAnsi="Times New Roman" w:cs="Times New Roman" w:hint="eastAsia"/>
          <w:sz w:val="28"/>
          <w:szCs w:val="28"/>
        </w:rPr>
        <w:t>之參考</w:t>
      </w:r>
      <w:r w:rsidRPr="00BF56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E5F68" w:rsidRPr="00BF5664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lastRenderedPageBreak/>
        <w:t>認清及牢記最近之『滅火器』、『緊急</w:t>
      </w:r>
      <w:proofErr w:type="gramStart"/>
      <w:r w:rsidRPr="00BF5664">
        <w:rPr>
          <w:rFonts w:ascii="Times New Roman" w:eastAsia="標楷體" w:hAnsi="Times New Roman" w:cs="Times New Roman"/>
          <w:sz w:val="28"/>
          <w:szCs w:val="28"/>
        </w:rPr>
        <w:t>洗眼器</w:t>
      </w:r>
      <w:proofErr w:type="gramEnd"/>
      <w:r w:rsidRPr="00BF5664">
        <w:rPr>
          <w:rFonts w:ascii="Times New Roman" w:eastAsia="標楷體" w:hAnsi="Times New Roman" w:cs="Times New Roman"/>
          <w:sz w:val="28"/>
          <w:szCs w:val="28"/>
        </w:rPr>
        <w:t>』、『緊急淋洗設備』及『急救箱』，並確知使用方法。</w:t>
      </w:r>
    </w:p>
    <w:p w:rsidR="000E5F68" w:rsidRPr="00BF5664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系</w:t>
      </w:r>
      <w:r w:rsidR="00177CFF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BF5664">
        <w:rPr>
          <w:rFonts w:ascii="Times New Roman" w:eastAsia="標楷體" w:hAnsi="Times New Roman" w:cs="Times New Roman"/>
          <w:sz w:val="28"/>
          <w:szCs w:val="28"/>
        </w:rPr>
        <w:t>各實驗室所安裝的滅火器為：多效乾粉（蓄壓式）滅火器，可用於</w:t>
      </w:r>
      <w:r w:rsidRPr="00BF5664">
        <w:rPr>
          <w:rFonts w:ascii="Times New Roman" w:eastAsia="標楷體" w:hAnsi="Times New Roman" w:cs="Times New Roman"/>
          <w:sz w:val="28"/>
          <w:szCs w:val="28"/>
        </w:rPr>
        <w:t>A</w:t>
      </w:r>
      <w:r w:rsidRPr="00BF5664">
        <w:rPr>
          <w:rFonts w:ascii="Times New Roman" w:eastAsia="標楷體" w:hAnsi="Times New Roman" w:cs="Times New Roman"/>
          <w:sz w:val="28"/>
          <w:szCs w:val="28"/>
        </w:rPr>
        <w:t>類（一般物品、紙類），</w:t>
      </w:r>
      <w:r w:rsidRPr="00BF5664">
        <w:rPr>
          <w:rFonts w:ascii="Times New Roman" w:eastAsia="標楷體" w:hAnsi="Times New Roman" w:cs="Times New Roman"/>
          <w:sz w:val="28"/>
          <w:szCs w:val="28"/>
        </w:rPr>
        <w:t>B</w:t>
      </w:r>
      <w:r w:rsidRPr="00BF5664">
        <w:rPr>
          <w:rFonts w:ascii="Times New Roman" w:eastAsia="標楷體" w:hAnsi="Times New Roman" w:cs="Times New Roman"/>
          <w:sz w:val="28"/>
          <w:szCs w:val="28"/>
        </w:rPr>
        <w:t>類（可燃液體），</w:t>
      </w:r>
      <w:r w:rsidRPr="00BF5664">
        <w:rPr>
          <w:rFonts w:ascii="Times New Roman" w:eastAsia="標楷體" w:hAnsi="Times New Roman" w:cs="Times New Roman"/>
          <w:sz w:val="28"/>
          <w:szCs w:val="28"/>
        </w:rPr>
        <w:t>C</w:t>
      </w:r>
      <w:r w:rsidRPr="00BF5664">
        <w:rPr>
          <w:rFonts w:ascii="Times New Roman" w:eastAsia="標楷體" w:hAnsi="Times New Roman" w:cs="Times New Roman"/>
          <w:sz w:val="28"/>
          <w:szCs w:val="28"/>
        </w:rPr>
        <w:t>類（電類火災）等類型火災。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實驗室內空氣應保持良好之流通性。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所有之藥品容器及鋼瓶</w:t>
      </w:r>
      <w:proofErr w:type="gramStart"/>
      <w:r w:rsidRPr="00177CFF">
        <w:rPr>
          <w:rFonts w:ascii="Times New Roman" w:eastAsia="標楷體" w:hAnsi="Times New Roman" w:cs="Times New Roman"/>
          <w:sz w:val="28"/>
          <w:szCs w:val="28"/>
        </w:rPr>
        <w:t>皆應貼上</w:t>
      </w:r>
      <w:proofErr w:type="gramEnd"/>
      <w:r w:rsidRPr="00177CFF">
        <w:rPr>
          <w:rFonts w:ascii="Times New Roman" w:eastAsia="標楷體" w:hAnsi="Times New Roman" w:cs="Times New Roman"/>
          <w:sz w:val="28"/>
          <w:szCs w:val="28"/>
        </w:rPr>
        <w:t>標籤註明，空的鋼瓶也要標示清楚；新配製的試劑要註明內容物、濃度、配製日期及配製人。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自行配製的溶液亦應清楚標示，為避免污染，不可將未用完的液體再倒回原來的容器內。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鹼金屬（如</w:t>
      </w:r>
      <w:r w:rsidRPr="00177CFF">
        <w:rPr>
          <w:rFonts w:ascii="Times New Roman" w:eastAsia="標楷體" w:hAnsi="Times New Roman" w:cs="Times New Roman"/>
          <w:sz w:val="28"/>
          <w:szCs w:val="28"/>
        </w:rPr>
        <w:t>Na</w:t>
      </w:r>
      <w:r w:rsidRPr="00177CFF">
        <w:rPr>
          <w:rFonts w:ascii="Times New Roman" w:eastAsia="標楷體" w:hAnsi="Times New Roman" w:cs="Times New Roman"/>
          <w:sz w:val="28"/>
          <w:szCs w:val="28"/>
        </w:rPr>
        <w:t>、</w:t>
      </w:r>
      <w:r w:rsidRPr="00177CFF">
        <w:rPr>
          <w:rFonts w:ascii="Times New Roman" w:eastAsia="標楷體" w:hAnsi="Times New Roman" w:cs="Times New Roman"/>
          <w:sz w:val="28"/>
          <w:szCs w:val="28"/>
        </w:rPr>
        <w:t>K</w:t>
      </w:r>
      <w:r w:rsidRPr="00177CFF">
        <w:rPr>
          <w:rFonts w:ascii="Times New Roman" w:eastAsia="標楷體" w:hAnsi="Times New Roman" w:cs="Times New Roman"/>
          <w:sz w:val="28"/>
          <w:szCs w:val="28"/>
        </w:rPr>
        <w:t>）及黃磷等會和水反應，而起火或爆炸，接觸皮膚則會造成嚴重灼傷，應置於輕質油中存放，</w:t>
      </w:r>
      <w:proofErr w:type="gramStart"/>
      <w:r w:rsidRPr="00177CFF">
        <w:rPr>
          <w:rFonts w:ascii="Times New Roman" w:eastAsia="標楷體" w:hAnsi="Times New Roman" w:cs="Times New Roman"/>
          <w:sz w:val="28"/>
          <w:szCs w:val="28"/>
        </w:rPr>
        <w:t>鹼金屬質軟</w:t>
      </w:r>
      <w:proofErr w:type="gramEnd"/>
      <w:r w:rsidRPr="00177CFF">
        <w:rPr>
          <w:rFonts w:ascii="Times New Roman" w:eastAsia="標楷體" w:hAnsi="Times New Roman" w:cs="Times New Roman"/>
          <w:sz w:val="28"/>
          <w:szCs w:val="28"/>
        </w:rPr>
        <w:t>，放在紙巾上用藥刀切割，如需銷毀，</w:t>
      </w:r>
      <w:proofErr w:type="gramStart"/>
      <w:r w:rsidRPr="00177CFF">
        <w:rPr>
          <w:rFonts w:ascii="Times New Roman" w:eastAsia="標楷體" w:hAnsi="Times New Roman" w:cs="Times New Roman"/>
          <w:sz w:val="28"/>
          <w:szCs w:val="28"/>
        </w:rPr>
        <w:t>可投於酒精</w:t>
      </w:r>
      <w:proofErr w:type="gramEnd"/>
      <w:r w:rsidRPr="00177CFF">
        <w:rPr>
          <w:rFonts w:ascii="Times New Roman" w:eastAsia="標楷體" w:hAnsi="Times New Roman" w:cs="Times New Roman"/>
          <w:sz w:val="28"/>
          <w:szCs w:val="28"/>
        </w:rPr>
        <w:t>中，必要時需冷卻之，儲存此類危險物品之容器，不可任意拋棄，也不可用水去洗（可能有殘留物）。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可燃性液體應該儲存在合格的儲存櫃中，在使用高可燃性液體（如丙酮、乙醚等）時一定要熄滅附近所有的火、熱源。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不可在鋪設地毯區使用水銀，灑出的水銀可用真空吸去（如用抽氣瓶將之抽入瓶中），且要</w:t>
      </w:r>
      <w:proofErr w:type="gramStart"/>
      <w:r w:rsidRPr="00177CFF">
        <w:rPr>
          <w:rFonts w:ascii="Times New Roman" w:eastAsia="標楷體" w:hAnsi="Times New Roman" w:cs="Times New Roman"/>
          <w:sz w:val="28"/>
          <w:szCs w:val="28"/>
        </w:rPr>
        <w:t>儘</w:t>
      </w:r>
      <w:proofErr w:type="gramEnd"/>
      <w:r w:rsidRPr="00177CFF">
        <w:rPr>
          <w:rFonts w:ascii="Times New Roman" w:eastAsia="標楷體" w:hAnsi="Times New Roman" w:cs="Times New Roman"/>
          <w:sz w:val="28"/>
          <w:szCs w:val="28"/>
        </w:rPr>
        <w:t>可能的清乾淨。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lastRenderedPageBreak/>
        <w:t>酸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液體溢出</w:t>
      </w:r>
      <w:r w:rsidR="00177CFF" w:rsidRPr="00177CFF">
        <w:rPr>
          <w:rFonts w:ascii="Times New Roman" w:eastAsia="標楷體" w:hAnsi="Times New Roman" w:cs="Times New Roman"/>
          <w:sz w:val="28"/>
          <w:szCs w:val="28"/>
        </w:rPr>
        <w:t>可以撒上固體的碳酸氫鈉中和後，再用水洗除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77CFF" w:rsidRPr="00177CFF">
        <w:rPr>
          <w:rFonts w:ascii="Times New Roman" w:eastAsia="標楷體" w:hAnsi="Times New Roman" w:cs="Times New Roman"/>
          <w:sz w:val="28"/>
          <w:szCs w:val="28"/>
        </w:rPr>
        <w:t>強鹼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溢出時</w:t>
      </w:r>
      <w:r w:rsidRPr="00177CFF">
        <w:rPr>
          <w:rFonts w:ascii="Times New Roman" w:eastAsia="標楷體" w:hAnsi="Times New Roman" w:cs="Times New Roman"/>
          <w:sz w:val="28"/>
          <w:szCs w:val="28"/>
        </w:rPr>
        <w:t>，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177CFF">
        <w:rPr>
          <w:rFonts w:ascii="Times New Roman" w:eastAsia="標楷體" w:hAnsi="Times New Roman" w:cs="Times New Roman"/>
          <w:sz w:val="28"/>
          <w:szCs w:val="28"/>
        </w:rPr>
        <w:t>先用水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清洗後</w:t>
      </w:r>
      <w:r w:rsidRPr="00177CFF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177CFF">
        <w:rPr>
          <w:rFonts w:ascii="Times New Roman" w:eastAsia="標楷體" w:hAnsi="Times New Roman" w:cs="Times New Roman"/>
          <w:sz w:val="28"/>
          <w:szCs w:val="28"/>
        </w:rPr>
        <w:t>再用稀醋酸</w:t>
      </w:r>
      <w:proofErr w:type="gramEnd"/>
      <w:r w:rsidRPr="00177CFF">
        <w:rPr>
          <w:rFonts w:ascii="Times New Roman" w:eastAsia="標楷體" w:hAnsi="Times New Roman" w:cs="Times New Roman"/>
          <w:sz w:val="28"/>
          <w:szCs w:val="28"/>
        </w:rPr>
        <w:t>清洗。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可燃性溶劑</w:t>
      </w:r>
      <w:r w:rsidR="00177CFF" w:rsidRPr="00177CFF">
        <w:rPr>
          <w:rFonts w:ascii="Times New Roman" w:eastAsia="標楷體" w:hAnsi="Times New Roman" w:cs="Times New Roman" w:hint="eastAsia"/>
          <w:sz w:val="28"/>
          <w:szCs w:val="28"/>
        </w:rPr>
        <w:t>溢出時應立即</w:t>
      </w:r>
      <w:r w:rsidR="00177CFF" w:rsidRPr="00177CFF">
        <w:rPr>
          <w:rFonts w:ascii="Times New Roman" w:eastAsia="標楷體" w:hAnsi="Times New Roman" w:cs="Times New Roman"/>
          <w:sz w:val="28"/>
          <w:szCs w:val="28"/>
        </w:rPr>
        <w:t>清除</w:t>
      </w:r>
      <w:r w:rsidRPr="00177CFF">
        <w:rPr>
          <w:rFonts w:ascii="Times New Roman" w:eastAsia="標楷體" w:hAnsi="Times New Roman" w:cs="Times New Roman"/>
          <w:sz w:val="28"/>
          <w:szCs w:val="28"/>
        </w:rPr>
        <w:t>，以免引起火災。</w:t>
      </w:r>
    </w:p>
    <w:p w:rsidR="00177CFF" w:rsidRDefault="00177CFF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0E5F68" w:rsidRPr="00177CFF">
        <w:rPr>
          <w:rFonts w:ascii="Times New Roman" w:eastAsia="標楷體" w:hAnsi="Times New Roman" w:cs="Times New Roman"/>
          <w:sz w:val="28"/>
          <w:szCs w:val="28"/>
        </w:rPr>
        <w:t>進行危險性實驗或處理危險性化學藥品時，應樹立明顯之告示牌或標誌，以警告他人。</w:t>
      </w:r>
    </w:p>
    <w:p w:rsidR="00177CFF" w:rsidRDefault="000E5F68" w:rsidP="00177CFF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藥品架或其它類似物品應予固定，以預防地震時倒塌的危險性。</w:t>
      </w:r>
    </w:p>
    <w:p w:rsidR="004C4960" w:rsidRPr="004C4960" w:rsidRDefault="000E5F68" w:rsidP="004C4960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7CFF">
        <w:rPr>
          <w:rFonts w:ascii="Times New Roman" w:eastAsia="標楷體" w:hAnsi="Times New Roman" w:cs="Times New Roman"/>
          <w:sz w:val="28"/>
          <w:szCs w:val="28"/>
        </w:rPr>
        <w:t>須定期檢查上述各種急救設備（至少每月一次）。</w:t>
      </w:r>
    </w:p>
    <w:p w:rsidR="000E5F68" w:rsidRPr="004C4960" w:rsidRDefault="000E5F68" w:rsidP="004C4960">
      <w:pPr>
        <w:pStyle w:val="Web"/>
        <w:numPr>
          <w:ilvl w:val="1"/>
          <w:numId w:val="9"/>
        </w:numPr>
        <w:ind w:left="426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4960">
        <w:rPr>
          <w:rFonts w:ascii="Times New Roman" w:eastAsia="標楷體" w:hAnsi="Times New Roman" w:cs="Times New Roman"/>
          <w:sz w:val="28"/>
          <w:szCs w:val="28"/>
        </w:rPr>
        <w:t>針對實驗室之設施進行重點檢查，定期檢查；其檢查項目、表格如</w:t>
      </w:r>
      <w:r w:rsidR="00177CFF" w:rsidRPr="004C4960">
        <w:rPr>
          <w:rFonts w:ascii="Times New Roman" w:eastAsia="標楷體" w:hAnsi="Times New Roman" w:cs="Times New Roman"/>
          <w:sz w:val="28"/>
          <w:szCs w:val="28"/>
        </w:rPr>
        <w:t>總務處環安衛中心</w:t>
      </w:r>
      <w:r w:rsidRPr="004C4960">
        <w:rPr>
          <w:rFonts w:ascii="Times New Roman" w:eastAsia="標楷體" w:hAnsi="Times New Roman" w:cs="Times New Roman"/>
          <w:sz w:val="28"/>
          <w:szCs w:val="28"/>
        </w:rPr>
        <w:t>之「</w:t>
      </w:r>
      <w:hyperlink r:id="rId10" w:history="1">
        <w:r w:rsidR="004C4960" w:rsidRPr="004C4960">
          <w:rPr>
            <w:rStyle w:val="a7"/>
            <w:rFonts w:ascii="Times New Roman" w:eastAsia="標楷體" w:hAnsi="Times New Roman" w:cs="Times New Roman"/>
            <w:color w:val="FF0000"/>
            <w:sz w:val="28"/>
            <w:szCs w:val="28"/>
            <w:u w:val="none"/>
          </w:rPr>
          <w:t>輔仁大學實驗室安全衛生自動檢查表格</w:t>
        </w:r>
      </w:hyperlink>
      <w:r w:rsidRPr="004C4960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0E5F68" w:rsidRDefault="000E5F68" w:rsidP="00177CFF">
      <w:pPr>
        <w:ind w:left="426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77CFF" w:rsidRPr="00602D09" w:rsidRDefault="00177CFF" w:rsidP="00177CFF">
      <w:pPr>
        <w:pStyle w:val="a6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違規之處分及儀器損壞賠償規則</w:t>
      </w:r>
      <w:r w:rsidRPr="00602D0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</w:p>
    <w:p w:rsidR="00177CFF" w:rsidRPr="001E50C6" w:rsidRDefault="00177CFF" w:rsidP="00177CFF">
      <w:pPr>
        <w:pStyle w:val="a6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第一次警告</w:t>
      </w:r>
      <w:r w:rsidRPr="001E50C6">
        <w:rPr>
          <w:rFonts w:ascii="Times New Roman" w:eastAsia="標楷體" w:hAnsi="Times New Roman" w:cs="Times New Roman"/>
          <w:sz w:val="28"/>
          <w:szCs w:val="28"/>
        </w:rPr>
        <w:t>;</w:t>
      </w:r>
      <w:r w:rsidRPr="001E50C6">
        <w:rPr>
          <w:rFonts w:ascii="Times New Roman" w:eastAsia="標楷體" w:hAnsi="Times New Roman" w:cs="Times New Roman"/>
          <w:sz w:val="28"/>
          <w:szCs w:val="28"/>
        </w:rPr>
        <w:t>第二次取消使用權二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;</w:t>
      </w:r>
      <w:r w:rsidRPr="001E50C6">
        <w:rPr>
          <w:rFonts w:ascii="Times New Roman" w:eastAsia="標楷體" w:hAnsi="Times New Roman" w:cs="Times New Roman"/>
          <w:sz w:val="28"/>
          <w:szCs w:val="28"/>
        </w:rPr>
        <w:t>第三次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報系</w:t>
      </w:r>
      <w:proofErr w:type="gramStart"/>
      <w:r w:rsidRPr="001E50C6">
        <w:rPr>
          <w:rFonts w:ascii="Times New Roman" w:eastAsia="標楷體" w:hAnsi="Times New Roman" w:cs="Times New Roman"/>
          <w:sz w:val="28"/>
          <w:szCs w:val="28"/>
        </w:rPr>
        <w:t>上截奪</w:t>
      </w:r>
      <w:proofErr w:type="gramEnd"/>
      <w:r w:rsidRPr="001E50C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77CFF" w:rsidRPr="001E50C6" w:rsidRDefault="00177CFF" w:rsidP="00177CFF">
      <w:pPr>
        <w:pStyle w:val="a6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50C6">
        <w:rPr>
          <w:rFonts w:ascii="Times New Roman" w:eastAsia="標楷體" w:hAnsi="Times New Roman" w:cs="Times New Roman"/>
          <w:sz w:val="28"/>
          <w:szCs w:val="28"/>
        </w:rPr>
        <w:t>因人為因素造成儀器毁損</w:t>
      </w:r>
      <w:r w:rsidRPr="001E50C6">
        <w:rPr>
          <w:rFonts w:ascii="Times New Roman" w:eastAsia="標楷體" w:hAnsi="Times New Roman" w:cs="Times New Roman"/>
          <w:sz w:val="28"/>
          <w:szCs w:val="28"/>
        </w:rPr>
        <w:t>,</w:t>
      </w:r>
      <w:r w:rsidRPr="001E50C6">
        <w:rPr>
          <w:rFonts w:ascii="Times New Roman" w:eastAsia="標楷體" w:hAnsi="Times New Roman" w:cs="Times New Roman"/>
          <w:sz w:val="28"/>
          <w:szCs w:val="28"/>
        </w:rPr>
        <w:t>須由使用者自行照價賠償。</w:t>
      </w:r>
    </w:p>
    <w:p w:rsidR="00177CFF" w:rsidRPr="003D12F6" w:rsidRDefault="00177CFF" w:rsidP="00177CFF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77CFF" w:rsidRPr="00C85887" w:rsidRDefault="00177CFF" w:rsidP="001E50C6">
      <w:pPr>
        <w:pStyle w:val="a6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C8588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其他使用規定</w:t>
      </w:r>
    </w:p>
    <w:p w:rsidR="00177CFF" w:rsidRPr="00BF5664" w:rsidRDefault="00177CFF" w:rsidP="004C4960">
      <w:pPr>
        <w:pStyle w:val="We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664">
        <w:rPr>
          <w:rStyle w:val="googqs-tidbit1"/>
          <w:rFonts w:ascii="Times New Roman" w:eastAsia="標楷體" w:hAnsi="Times New Roman" w:cs="Times New Roman"/>
          <w:sz w:val="28"/>
          <w:szCs w:val="28"/>
          <w:specVanish w:val="0"/>
        </w:rPr>
        <w:t>電氣設備使用安全守則詳見</w:t>
      </w:r>
      <w:r w:rsidR="001E50C6">
        <w:rPr>
          <w:rStyle w:val="googqs-tidbit1"/>
          <w:rFonts w:ascii="Times New Roman" w:eastAsia="標楷體" w:hAnsi="Times New Roman" w:cs="Times New Roman" w:hint="eastAsia"/>
          <w:sz w:val="28"/>
          <w:szCs w:val="28"/>
          <w:specVanish w:val="0"/>
        </w:rPr>
        <w:t>本校</w:t>
      </w:r>
      <w:r w:rsidRPr="00BF5664">
        <w:rPr>
          <w:rStyle w:val="googqs-tidbit1"/>
          <w:rFonts w:ascii="Times New Roman" w:eastAsia="標楷體" w:hAnsi="Times New Roman" w:cs="Times New Roman"/>
          <w:sz w:val="28"/>
          <w:szCs w:val="28"/>
          <w:specVanish w:val="0"/>
        </w:rPr>
        <w:t>之「</w:t>
      </w:r>
      <w:r w:rsidR="004C4960" w:rsidRPr="004C4960">
        <w:rPr>
          <w:rStyle w:val="googqs-tidbit1"/>
          <w:rFonts w:ascii="Times New Roman" w:eastAsia="標楷體" w:hAnsi="Times New Roman" w:cs="Times New Roman" w:hint="eastAsia"/>
          <w:color w:val="FF0000"/>
          <w:sz w:val="28"/>
          <w:szCs w:val="28"/>
          <w:specVanish w:val="0"/>
        </w:rPr>
        <w:t>輔仁大學安全衛生工作守則之第五節電氣設備守則</w:t>
      </w:r>
      <w:r w:rsidR="004C4960">
        <w:rPr>
          <w:rStyle w:val="googqs-tidbit1"/>
          <w:rFonts w:ascii="Times New Roman" w:eastAsia="標楷體" w:hAnsi="Times New Roman" w:cs="Times New Roman"/>
          <w:sz w:val="28"/>
          <w:szCs w:val="28"/>
          <w:specVanish w:val="0"/>
        </w:rPr>
        <w:t>」</w:t>
      </w:r>
      <w:r w:rsidRPr="00BF5664">
        <w:rPr>
          <w:rStyle w:val="googqs-tidbit1"/>
          <w:rFonts w:ascii="Times New Roman" w:eastAsia="標楷體" w:hAnsi="Times New Roman" w:cs="Times New Roman"/>
          <w:sz w:val="28"/>
          <w:szCs w:val="28"/>
          <w:specVanish w:val="0"/>
        </w:rPr>
        <w:t>。</w:t>
      </w:r>
    </w:p>
    <w:p w:rsidR="00177CFF" w:rsidRPr="00BF5664" w:rsidRDefault="00177CFF" w:rsidP="001E50C6">
      <w:pPr>
        <w:pStyle w:val="We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lastRenderedPageBreak/>
        <w:t>高壓氣體鋼瓶使用安全及運送貯存管理守則詳見</w:t>
      </w:r>
      <w:r w:rsidR="001E50C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BF5664">
        <w:rPr>
          <w:rFonts w:ascii="Times New Roman" w:eastAsia="標楷體" w:hAnsi="Times New Roman" w:cs="Times New Roman"/>
          <w:sz w:val="28"/>
          <w:szCs w:val="28"/>
        </w:rPr>
        <w:t>之「</w:t>
      </w:r>
      <w:r w:rsidR="004C4960" w:rsidRPr="004C4960">
        <w:rPr>
          <w:rFonts w:ascii="Times New Roman" w:eastAsia="標楷體" w:hAnsi="Times New Roman" w:cs="Times New Roman"/>
          <w:color w:val="FF0000"/>
          <w:sz w:val="28"/>
          <w:szCs w:val="28"/>
        </w:rPr>
        <w:t>輔仁大學安全衛生工作守則之</w:t>
      </w:r>
      <w:r w:rsidR="00D7636F" w:rsidRPr="004C4960">
        <w:rPr>
          <w:rFonts w:ascii="Times New Roman" w:eastAsia="標楷體" w:hAnsi="Times New Roman" w:cs="Times New Roman"/>
          <w:color w:val="FF0000"/>
          <w:sz w:val="28"/>
          <w:szCs w:val="28"/>
        </w:rPr>
        <w:t>第三章設備維護與檢查</w:t>
      </w:r>
      <w:r w:rsidRPr="00BF5664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77CFF" w:rsidRPr="00BF5664" w:rsidRDefault="00177CFF" w:rsidP="001E50C6">
      <w:pPr>
        <w:pStyle w:val="We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664">
        <w:rPr>
          <w:rFonts w:ascii="Times New Roman" w:eastAsia="標楷體" w:hAnsi="Times New Roman" w:cs="Times New Roman"/>
          <w:sz w:val="28"/>
          <w:szCs w:val="28"/>
        </w:rPr>
        <w:t>機械事故之防止守則詳見</w:t>
      </w:r>
      <w:r w:rsidR="001E50C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BF5664">
        <w:rPr>
          <w:rFonts w:ascii="Times New Roman" w:eastAsia="標楷體" w:hAnsi="Times New Roman" w:cs="Times New Roman"/>
          <w:sz w:val="28"/>
          <w:szCs w:val="28"/>
        </w:rPr>
        <w:t>之「</w:t>
      </w:r>
      <w:r w:rsidR="004C4960" w:rsidRPr="004C4960">
        <w:rPr>
          <w:rFonts w:ascii="Times New Roman" w:eastAsia="標楷體" w:hAnsi="Times New Roman" w:cs="Times New Roman"/>
          <w:color w:val="FF0000"/>
          <w:sz w:val="28"/>
          <w:szCs w:val="28"/>
        </w:rPr>
        <w:t>輔仁大學安全衛生工作守則之第四章工作安全與衛生標準</w:t>
      </w:r>
      <w:r w:rsidRPr="00BF5664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77CFF" w:rsidRPr="00177CFF" w:rsidRDefault="00177CFF" w:rsidP="00177CFF">
      <w:pPr>
        <w:ind w:left="426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177CFF" w:rsidRPr="00177CFF" w:rsidSect="008F227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AA" w:rsidRDefault="00223AAA" w:rsidP="00C85887">
      <w:r>
        <w:separator/>
      </w:r>
    </w:p>
  </w:endnote>
  <w:endnote w:type="continuationSeparator" w:id="0">
    <w:p w:rsidR="00223AAA" w:rsidRDefault="00223AAA" w:rsidP="00C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06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AAA" w:rsidRPr="00C85887" w:rsidRDefault="00F068B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AAA" w:rsidRPr="00C858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A7B" w:rsidRPr="005E5A7B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C85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AAA" w:rsidRDefault="00223A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AA" w:rsidRDefault="00223AAA" w:rsidP="00C85887">
      <w:r>
        <w:separator/>
      </w:r>
    </w:p>
  </w:footnote>
  <w:footnote w:type="continuationSeparator" w:id="0">
    <w:p w:rsidR="00223AAA" w:rsidRDefault="00223AAA" w:rsidP="00C8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B98"/>
    <w:multiLevelType w:val="hybridMultilevel"/>
    <w:tmpl w:val="89E24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1057D"/>
    <w:multiLevelType w:val="hybridMultilevel"/>
    <w:tmpl w:val="6FEC23B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14B57"/>
    <w:multiLevelType w:val="hybridMultilevel"/>
    <w:tmpl w:val="FE0A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D02978">
      <w:start w:val="1"/>
      <w:numFmt w:val="decimal"/>
      <w:lvlText w:val="%2."/>
      <w:lvlJc w:val="left"/>
      <w:pPr>
        <w:ind w:left="840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8792C"/>
    <w:multiLevelType w:val="hybridMultilevel"/>
    <w:tmpl w:val="BD643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C47473"/>
    <w:multiLevelType w:val="hybridMultilevel"/>
    <w:tmpl w:val="5D32E5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5424"/>
    <w:multiLevelType w:val="hybridMultilevel"/>
    <w:tmpl w:val="756E6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0261D1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72529"/>
    <w:multiLevelType w:val="hybridMultilevel"/>
    <w:tmpl w:val="A4665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F601F9"/>
    <w:multiLevelType w:val="hybridMultilevel"/>
    <w:tmpl w:val="F758B25A"/>
    <w:lvl w:ilvl="0" w:tplc="FB6C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F66CF7"/>
    <w:multiLevelType w:val="hybridMultilevel"/>
    <w:tmpl w:val="95E036FE"/>
    <w:lvl w:ilvl="0" w:tplc="5A1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1779D6"/>
    <w:multiLevelType w:val="hybridMultilevel"/>
    <w:tmpl w:val="9F609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15CB9"/>
    <w:multiLevelType w:val="hybridMultilevel"/>
    <w:tmpl w:val="D3A4F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DA1D9B"/>
    <w:multiLevelType w:val="hybridMultilevel"/>
    <w:tmpl w:val="DC0412DC"/>
    <w:lvl w:ilvl="0" w:tplc="B2DC29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BD02978">
      <w:start w:val="1"/>
      <w:numFmt w:val="decimal"/>
      <w:lvlText w:val="%2."/>
      <w:lvlJc w:val="left"/>
      <w:pPr>
        <w:ind w:left="840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4B7AB1"/>
    <w:multiLevelType w:val="hybridMultilevel"/>
    <w:tmpl w:val="795C299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0E56E0"/>
    <w:multiLevelType w:val="hybridMultilevel"/>
    <w:tmpl w:val="4CA01F3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4A7B37"/>
    <w:multiLevelType w:val="hybridMultilevel"/>
    <w:tmpl w:val="73ECB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B84B97"/>
    <w:multiLevelType w:val="hybridMultilevel"/>
    <w:tmpl w:val="E0361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2C4CA5"/>
    <w:multiLevelType w:val="hybridMultilevel"/>
    <w:tmpl w:val="1A92B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034"/>
    <w:rsid w:val="00056508"/>
    <w:rsid w:val="000701A8"/>
    <w:rsid w:val="000E4C28"/>
    <w:rsid w:val="000E5F68"/>
    <w:rsid w:val="00177CFF"/>
    <w:rsid w:val="00190330"/>
    <w:rsid w:val="001C4D51"/>
    <w:rsid w:val="001C7685"/>
    <w:rsid w:val="001E50C6"/>
    <w:rsid w:val="00223AAA"/>
    <w:rsid w:val="00302DAF"/>
    <w:rsid w:val="0034761D"/>
    <w:rsid w:val="0039670B"/>
    <w:rsid w:val="003D12F6"/>
    <w:rsid w:val="004A0D78"/>
    <w:rsid w:val="004C4960"/>
    <w:rsid w:val="0059298E"/>
    <w:rsid w:val="005E5A7B"/>
    <w:rsid w:val="00602D09"/>
    <w:rsid w:val="00602D66"/>
    <w:rsid w:val="00630EF3"/>
    <w:rsid w:val="0065393C"/>
    <w:rsid w:val="00676BF4"/>
    <w:rsid w:val="00680FFB"/>
    <w:rsid w:val="006A5A0E"/>
    <w:rsid w:val="006A6F63"/>
    <w:rsid w:val="00706A09"/>
    <w:rsid w:val="00741A03"/>
    <w:rsid w:val="00773B5A"/>
    <w:rsid w:val="007A3E43"/>
    <w:rsid w:val="008241FC"/>
    <w:rsid w:val="008A6570"/>
    <w:rsid w:val="008B66C6"/>
    <w:rsid w:val="008F227C"/>
    <w:rsid w:val="008F3C89"/>
    <w:rsid w:val="00996E48"/>
    <w:rsid w:val="009F0CC4"/>
    <w:rsid w:val="009F39F7"/>
    <w:rsid w:val="00A06300"/>
    <w:rsid w:val="00A15F1A"/>
    <w:rsid w:val="00A26B31"/>
    <w:rsid w:val="00AF2F72"/>
    <w:rsid w:val="00B078F3"/>
    <w:rsid w:val="00BF5664"/>
    <w:rsid w:val="00C85846"/>
    <w:rsid w:val="00C85887"/>
    <w:rsid w:val="00CD3379"/>
    <w:rsid w:val="00CF5A46"/>
    <w:rsid w:val="00D2075A"/>
    <w:rsid w:val="00D60DB5"/>
    <w:rsid w:val="00D743C5"/>
    <w:rsid w:val="00D7636F"/>
    <w:rsid w:val="00D978A1"/>
    <w:rsid w:val="00E16034"/>
    <w:rsid w:val="00EA64A1"/>
    <w:rsid w:val="00ED4F7D"/>
    <w:rsid w:val="00EE0773"/>
    <w:rsid w:val="00EE1764"/>
    <w:rsid w:val="00F00E07"/>
    <w:rsid w:val="00F068BE"/>
    <w:rsid w:val="00F237E1"/>
    <w:rsid w:val="00F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16034"/>
    <w:rPr>
      <w:b/>
      <w:bCs/>
    </w:rPr>
  </w:style>
  <w:style w:type="paragraph" w:styleId="a6">
    <w:name w:val="List Paragraph"/>
    <w:basedOn w:val="a"/>
    <w:uiPriority w:val="34"/>
    <w:qFormat/>
    <w:rsid w:val="00E16034"/>
    <w:pPr>
      <w:ind w:leftChars="200" w:left="480"/>
    </w:pPr>
  </w:style>
  <w:style w:type="paragraph" w:styleId="Web">
    <w:name w:val="Normal (Web)"/>
    <w:basedOn w:val="a"/>
    <w:uiPriority w:val="99"/>
    <w:unhideWhenUsed/>
    <w:rsid w:val="00630E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oogqs-tidbit1">
    <w:name w:val="goog_qs-tidbit1"/>
    <w:basedOn w:val="a0"/>
    <w:rsid w:val="00630EF3"/>
    <w:rPr>
      <w:vanish w:val="0"/>
      <w:webHidden w:val="0"/>
      <w:specVanish w:val="0"/>
    </w:rPr>
  </w:style>
  <w:style w:type="character" w:styleId="a7">
    <w:name w:val="Hyperlink"/>
    <w:basedOn w:val="a0"/>
    <w:uiPriority w:val="99"/>
    <w:unhideWhenUsed/>
    <w:rsid w:val="000E5F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58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58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603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16034"/>
    <w:rPr>
      <w:b/>
      <w:bCs/>
    </w:rPr>
  </w:style>
  <w:style w:type="paragraph" w:styleId="a6">
    <w:name w:val="List Paragraph"/>
    <w:basedOn w:val="a"/>
    <w:uiPriority w:val="34"/>
    <w:qFormat/>
    <w:rsid w:val="00E16034"/>
    <w:pPr>
      <w:ind w:leftChars="200" w:left="480"/>
    </w:pPr>
  </w:style>
  <w:style w:type="paragraph" w:styleId="Web">
    <w:name w:val="Normal (Web)"/>
    <w:basedOn w:val="a"/>
    <w:uiPriority w:val="99"/>
    <w:unhideWhenUsed/>
    <w:rsid w:val="00630E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oogqs-tidbit1">
    <w:name w:val="goog_qs-tidbit1"/>
    <w:basedOn w:val="a0"/>
    <w:rsid w:val="00630EF3"/>
    <w:rPr>
      <w:vanish w:val="0"/>
      <w:webHidden w:val="0"/>
      <w:specVanish w:val="0"/>
    </w:rPr>
  </w:style>
  <w:style w:type="character" w:styleId="a7">
    <w:name w:val="Hyperlink"/>
    <w:basedOn w:val="a0"/>
    <w:uiPriority w:val="99"/>
    <w:semiHidden/>
    <w:unhideWhenUsed/>
    <w:rsid w:val="000E5F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58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5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58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.fju.edu.tw/wordfile/board/&#33258;&#21205;&#27298;&#26597;&#34920;&#266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iprogram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0200-BAF8-4042-BE32-889E120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Alex254</dc:creator>
  <cp:lastModifiedBy>Marcus Tung</cp:lastModifiedBy>
  <cp:revision>13</cp:revision>
  <cp:lastPrinted>2013-11-28T03:03:00Z</cp:lastPrinted>
  <dcterms:created xsi:type="dcterms:W3CDTF">2013-11-20T10:00:00Z</dcterms:created>
  <dcterms:modified xsi:type="dcterms:W3CDTF">2018-10-08T06:28:00Z</dcterms:modified>
</cp:coreProperties>
</file>