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96" w:rsidRDefault="00D52C96" w:rsidP="00D52C96">
      <w:pPr>
        <w:widowControl/>
        <w:rPr>
          <w:rFonts w:ascii="新細明體" w:hAnsi="新細明體" w:cs="新細明體"/>
          <w:kern w:val="0"/>
          <w:sz w:val="20"/>
          <w:szCs w:val="20"/>
        </w:rPr>
      </w:pPr>
      <w:r>
        <w:rPr>
          <w:rFonts w:ascii="新細明體" w:hAnsi="新細明體" w:cs="新細明體" w:hint="eastAsia"/>
          <w:kern w:val="0"/>
          <w:sz w:val="20"/>
          <w:szCs w:val="20"/>
        </w:rPr>
        <w:t>土豆麵筋罐頭</w:t>
      </w:r>
    </w:p>
    <w:p w:rsidR="00932FD8" w:rsidRPr="00C759D7" w:rsidRDefault="00D52C96" w:rsidP="00C759D7">
      <w:pPr>
        <w:pStyle w:val="a4"/>
        <w:numPr>
          <w:ilvl w:val="0"/>
          <w:numId w:val="2"/>
        </w:numPr>
        <w:ind w:leftChars="0"/>
        <w:rPr>
          <w:rFonts w:ascii="新細明體" w:hAnsi="新細明體" w:cs="新細明體"/>
          <w:kern w:val="0"/>
          <w:sz w:val="20"/>
          <w:szCs w:val="20"/>
        </w:rPr>
      </w:pPr>
      <w:r w:rsidRPr="00C759D7">
        <w:rPr>
          <w:rFonts w:ascii="新細明體" w:hAnsi="新細明體" w:cs="新細明體"/>
          <w:kern w:val="0"/>
          <w:sz w:val="20"/>
          <w:szCs w:val="20"/>
        </w:rPr>
        <w:t>目的：</w:t>
      </w:r>
    </w:p>
    <w:p w:rsidR="00C759D7" w:rsidRPr="00C759D7" w:rsidRDefault="00D52C96" w:rsidP="00C759D7">
      <w:pPr>
        <w:pStyle w:val="a4"/>
        <w:numPr>
          <w:ilvl w:val="0"/>
          <w:numId w:val="1"/>
        </w:numPr>
        <w:ind w:leftChars="0"/>
        <w:rPr>
          <w:rFonts w:ascii="新細明體" w:hAnsi="新細明體" w:cs="新細明體"/>
          <w:kern w:val="0"/>
          <w:sz w:val="20"/>
          <w:szCs w:val="20"/>
        </w:rPr>
      </w:pPr>
      <w:r w:rsidRPr="00C759D7">
        <w:rPr>
          <w:rFonts w:ascii="新細明體" w:hAnsi="新細明體" w:cs="新細明體"/>
          <w:kern w:val="0"/>
          <w:sz w:val="20"/>
          <w:szCs w:val="20"/>
        </w:rPr>
        <w:t>學習罐頭製作</w:t>
      </w:r>
    </w:p>
    <w:p w:rsidR="00C759D7" w:rsidRPr="00C759D7" w:rsidRDefault="00D52C96" w:rsidP="00C759D7">
      <w:pPr>
        <w:pStyle w:val="a4"/>
        <w:numPr>
          <w:ilvl w:val="0"/>
          <w:numId w:val="1"/>
        </w:numPr>
        <w:ind w:leftChars="0"/>
        <w:rPr>
          <w:rFonts w:ascii="新細明體" w:hAnsi="新細明體" w:cs="新細明體"/>
          <w:kern w:val="0"/>
          <w:sz w:val="20"/>
          <w:szCs w:val="20"/>
        </w:rPr>
      </w:pPr>
      <w:r w:rsidRPr="00C759D7">
        <w:rPr>
          <w:rFonts w:ascii="新細明體" w:hAnsi="新細明體" w:cs="新細明體"/>
          <w:kern w:val="0"/>
          <w:sz w:val="20"/>
          <w:szCs w:val="20"/>
        </w:rPr>
        <w:t>了解封罐機、殺菌釜的使用與原理</w:t>
      </w:r>
    </w:p>
    <w:p w:rsidR="00C759D7" w:rsidRPr="00C759D7" w:rsidRDefault="00D52C96" w:rsidP="00C759D7">
      <w:pPr>
        <w:pStyle w:val="a4"/>
        <w:numPr>
          <w:ilvl w:val="0"/>
          <w:numId w:val="2"/>
        </w:numPr>
        <w:ind w:leftChars="0"/>
        <w:rPr>
          <w:rFonts w:ascii="新細明體" w:hAnsi="新細明體" w:cs="新細明體"/>
          <w:kern w:val="0"/>
          <w:sz w:val="20"/>
          <w:szCs w:val="20"/>
        </w:rPr>
      </w:pPr>
      <w:r w:rsidRPr="00C759D7">
        <w:rPr>
          <w:rFonts w:ascii="新細明體" w:hAnsi="新細明體" w:cs="新細明體"/>
          <w:kern w:val="0"/>
          <w:sz w:val="20"/>
          <w:szCs w:val="20"/>
        </w:rPr>
        <w:t>原理：</w:t>
      </w:r>
    </w:p>
    <w:p w:rsidR="00C759D7" w:rsidRDefault="00D52C96" w:rsidP="00C759D7">
      <w:pPr>
        <w:ind w:firstLine="480"/>
        <w:rPr>
          <w:rFonts w:ascii="新細明體" w:hAnsi="新細明體" w:cs="新細明體"/>
          <w:kern w:val="0"/>
          <w:sz w:val="20"/>
          <w:szCs w:val="20"/>
        </w:rPr>
      </w:pPr>
      <w:r w:rsidRPr="009B0620">
        <w:rPr>
          <w:rFonts w:ascii="新細明體" w:hAnsi="新細明體" w:cs="新細明體"/>
          <w:kern w:val="0"/>
          <w:sz w:val="20"/>
          <w:szCs w:val="20"/>
        </w:rPr>
        <w:t>花生與麵筋經過調理後，充填於馬口鐵罐中， 再經脫氣、密封、殺菌等步驟，使內部微生物不易入侵， 而延長保存期限。</w:t>
      </w:r>
    </w:p>
    <w:p w:rsidR="00C759D7" w:rsidRDefault="00C759D7" w:rsidP="00D52C96"/>
    <w:p w:rsidR="00D52C96" w:rsidRDefault="00D52C96" w:rsidP="00D52C96">
      <w:r>
        <w:rPr>
          <w:rFonts w:hint="eastAsia"/>
        </w:rPr>
        <w:t>三、材料與器具</w:t>
      </w:r>
    </w:p>
    <w:tbl>
      <w:tblPr>
        <w:tblStyle w:val="a3"/>
        <w:tblW w:w="0" w:type="auto"/>
        <w:tblInd w:w="250" w:type="dxa"/>
        <w:tblLook w:val="04A0"/>
      </w:tblPr>
      <w:tblGrid>
        <w:gridCol w:w="582"/>
        <w:gridCol w:w="1176"/>
        <w:gridCol w:w="581"/>
        <w:gridCol w:w="770"/>
        <w:gridCol w:w="582"/>
        <w:gridCol w:w="936"/>
        <w:gridCol w:w="520"/>
        <w:gridCol w:w="770"/>
      </w:tblGrid>
      <w:tr w:rsidR="00D52C96" w:rsidTr="00932FD8">
        <w:tc>
          <w:tcPr>
            <w:tcW w:w="1616" w:type="dxa"/>
            <w:gridSpan w:val="2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Wt(g)</w:t>
            </w:r>
          </w:p>
        </w:tc>
        <w:tc>
          <w:tcPr>
            <w:tcW w:w="0" w:type="auto"/>
            <w:gridSpan w:val="2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Wt(g)</w:t>
            </w:r>
          </w:p>
        </w:tc>
      </w:tr>
      <w:tr w:rsidR="00D52C96" w:rsidTr="00932FD8">
        <w:tc>
          <w:tcPr>
            <w:tcW w:w="440" w:type="dxa"/>
            <w:vMerge w:val="restart"/>
            <w:textDirection w:val="tbRlV"/>
            <w:vAlign w:val="center"/>
          </w:tcPr>
          <w:p w:rsidR="00D52C96" w:rsidRDefault="0060189A" w:rsidP="0060189A">
            <w:pPr>
              <w:widowControl/>
              <w:ind w:left="113" w:right="113"/>
              <w:jc w:val="center"/>
            </w:pPr>
            <w:r w:rsidRPr="0060189A">
              <w:rPr>
                <w:rFonts w:hint="eastAsia"/>
                <w:spacing w:val="60"/>
                <w:kern w:val="0"/>
                <w:fitText w:val="960" w:id="-979366911"/>
              </w:rPr>
              <w:t>固形</w:t>
            </w:r>
            <w:r w:rsidRPr="0060189A">
              <w:rPr>
                <w:rFonts w:hint="eastAsia"/>
                <w:kern w:val="0"/>
                <w:fitText w:val="960" w:id="-979366911"/>
              </w:rPr>
              <w:t>物</w:t>
            </w:r>
          </w:p>
        </w:tc>
        <w:tc>
          <w:tcPr>
            <w:tcW w:w="0" w:type="auto"/>
            <w:vMerge w:val="restart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油泡麵筋</w:t>
            </w:r>
          </w:p>
        </w:tc>
        <w:tc>
          <w:tcPr>
            <w:tcW w:w="0" w:type="auto"/>
            <w:vMerge w:val="restart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D52C96" w:rsidRDefault="00D52C96" w:rsidP="00904441">
            <w:pPr>
              <w:widowControl/>
              <w:ind w:left="113" w:right="113"/>
              <w:jc w:val="center"/>
            </w:pPr>
            <w:r w:rsidRPr="0060189A">
              <w:rPr>
                <w:rFonts w:hint="eastAsia"/>
                <w:spacing w:val="60"/>
                <w:kern w:val="0"/>
                <w:fitText w:val="960" w:id="-979367423"/>
              </w:rPr>
              <w:t>調味</w:t>
            </w:r>
            <w:r w:rsidRPr="0060189A">
              <w:rPr>
                <w:rFonts w:hint="eastAsia"/>
                <w:kern w:val="0"/>
                <w:fitText w:val="960" w:id="-979367423"/>
              </w:rPr>
              <w:t>液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鹽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D52C96" w:rsidTr="00932FD8">
        <w:tc>
          <w:tcPr>
            <w:tcW w:w="440" w:type="dxa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砂糖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185</w:t>
            </w:r>
          </w:p>
        </w:tc>
      </w:tr>
      <w:tr w:rsidR="00D52C96" w:rsidTr="00932FD8">
        <w:tc>
          <w:tcPr>
            <w:tcW w:w="440" w:type="dxa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味精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D52C96" w:rsidTr="00932FD8">
        <w:tc>
          <w:tcPr>
            <w:tcW w:w="440" w:type="dxa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花生</w:t>
            </w:r>
          </w:p>
        </w:tc>
        <w:tc>
          <w:tcPr>
            <w:tcW w:w="0" w:type="auto"/>
            <w:vMerge w:val="restart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醬油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D52C96" w:rsidTr="00932FD8">
        <w:tc>
          <w:tcPr>
            <w:tcW w:w="440" w:type="dxa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麥芽糖</w:t>
            </w:r>
          </w:p>
        </w:tc>
        <w:tc>
          <w:tcPr>
            <w:tcW w:w="0" w:type="auto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:rsidR="00D52C96" w:rsidRDefault="00904441" w:rsidP="00904441">
            <w:pPr>
              <w:widowControl/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D52C96" w:rsidTr="00932FD8">
        <w:tc>
          <w:tcPr>
            <w:tcW w:w="440" w:type="dxa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52C96" w:rsidRDefault="00D52C96" w:rsidP="00904441">
            <w:pPr>
              <w:widowControl/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D52C96" w:rsidRDefault="00D52C96" w:rsidP="00904441">
            <w:pPr>
              <w:widowControl/>
              <w:jc w:val="center"/>
            </w:pPr>
            <w:r>
              <w:rPr>
                <w:rFonts w:hint="eastAsia"/>
              </w:rPr>
              <w:t>加水至</w:t>
            </w:r>
            <w:r w:rsidR="00904441">
              <w:rPr>
                <w:rFonts w:hint="eastAsia"/>
              </w:rPr>
              <w:t>2400</w:t>
            </w:r>
            <w:r>
              <w:rPr>
                <w:rFonts w:hint="eastAsia"/>
              </w:rPr>
              <w:t>ml</w:t>
            </w:r>
          </w:p>
        </w:tc>
      </w:tr>
    </w:tbl>
    <w:p w:rsidR="00C759D7" w:rsidRDefault="00904441" w:rsidP="00932FD8">
      <w:pPr>
        <w:widowControl/>
      </w:pPr>
      <w:r>
        <w:rPr>
          <w:rFonts w:hint="eastAsia"/>
        </w:rPr>
        <w:t>設備</w:t>
      </w:r>
      <w:r w:rsidR="0060189A">
        <w:rPr>
          <w:rFonts w:hint="eastAsia"/>
        </w:rPr>
        <w:t>：脫氣機、封罐機、殺菌釜。</w:t>
      </w:r>
    </w:p>
    <w:p w:rsidR="00C759D7" w:rsidRDefault="0060189A" w:rsidP="00932FD8">
      <w:pPr>
        <w:widowControl/>
      </w:pPr>
      <w:r>
        <w:rPr>
          <w:rFonts w:hint="eastAsia"/>
        </w:rPr>
        <w:t>器具：塗漆平二號罐</w:t>
      </w:r>
      <w:r>
        <w:rPr>
          <w:rFonts w:hint="eastAsia"/>
        </w:rPr>
        <w:t>16</w:t>
      </w:r>
      <w:r>
        <w:rPr>
          <w:rFonts w:hint="eastAsia"/>
        </w:rPr>
        <w:t>罐</w:t>
      </w:r>
      <w:r>
        <w:rPr>
          <w:rFonts w:hint="eastAsia"/>
        </w:rPr>
        <w:t>/</w:t>
      </w:r>
      <w:r>
        <w:rPr>
          <w:rFonts w:hint="eastAsia"/>
        </w:rPr>
        <w:t>組</w:t>
      </w:r>
      <w:r w:rsidR="00C6160F">
        <w:rPr>
          <w:rFonts w:hint="eastAsia"/>
        </w:rPr>
        <w:t>。</w:t>
      </w:r>
    </w:p>
    <w:p w:rsidR="00C759D7" w:rsidRPr="00C759D7" w:rsidRDefault="0060189A" w:rsidP="00C759D7">
      <w:pPr>
        <w:pStyle w:val="a4"/>
        <w:widowControl/>
        <w:numPr>
          <w:ilvl w:val="0"/>
          <w:numId w:val="2"/>
        </w:numPr>
        <w:ind w:leftChars="0"/>
        <w:rPr>
          <w:rFonts w:ascii="新細明體" w:hAnsi="新細明體" w:cs="新細明體"/>
          <w:kern w:val="0"/>
          <w:szCs w:val="24"/>
        </w:rPr>
      </w:pPr>
      <w:r w:rsidRPr="00C759D7">
        <w:rPr>
          <w:rFonts w:ascii="新細明體" w:hAnsi="新細明體" w:cs="新細明體"/>
          <w:kern w:val="0"/>
          <w:szCs w:val="24"/>
        </w:rPr>
        <w:t>製程</w:t>
      </w:r>
    </w:p>
    <w:p w:rsidR="00C759D7" w:rsidRPr="00C759D7" w:rsidRDefault="0060189A" w:rsidP="00C759D7">
      <w:pPr>
        <w:pStyle w:val="a4"/>
        <w:widowControl/>
        <w:numPr>
          <w:ilvl w:val="0"/>
          <w:numId w:val="4"/>
        </w:numPr>
        <w:ind w:leftChars="0"/>
        <w:rPr>
          <w:rFonts w:ascii="新細明體" w:hAnsi="新細明體" w:cs="新細明體"/>
          <w:kern w:val="0"/>
          <w:szCs w:val="24"/>
        </w:rPr>
      </w:pPr>
      <w:r w:rsidRPr="00C759D7">
        <w:rPr>
          <w:rFonts w:ascii="新細明體" w:hAnsi="新細明體" w:cs="新細明體"/>
          <w:kern w:val="0"/>
          <w:szCs w:val="24"/>
        </w:rPr>
        <w:t>前處理</w:t>
      </w:r>
    </w:p>
    <w:p w:rsidR="00C759D7" w:rsidRDefault="0060189A" w:rsidP="00C759D7">
      <w:pPr>
        <w:pStyle w:val="a4"/>
        <w:widowControl/>
        <w:numPr>
          <w:ilvl w:val="0"/>
          <w:numId w:val="5"/>
        </w:numPr>
        <w:ind w:leftChars="0"/>
        <w:rPr>
          <w:rFonts w:ascii="新細明體" w:hAnsi="新細明體" w:cs="新細明體"/>
          <w:kern w:val="0"/>
          <w:szCs w:val="24"/>
        </w:rPr>
      </w:pPr>
      <w:r w:rsidRPr="00C759D7">
        <w:rPr>
          <w:rFonts w:ascii="新細明體" w:hAnsi="新細明體" w:cs="新細明體"/>
          <w:kern w:val="0"/>
          <w:szCs w:val="24"/>
        </w:rPr>
        <w:t>花生：泡水6hr→中火煮滾（20min）→瀝乾</w:t>
      </w:r>
      <w:r w:rsidR="00C6160F">
        <w:rPr>
          <w:rFonts w:ascii="新細明體" w:hAnsi="新細明體" w:cs="新細明體" w:hint="eastAsia"/>
          <w:kern w:val="0"/>
          <w:szCs w:val="24"/>
        </w:rPr>
        <w:t>。</w:t>
      </w:r>
    </w:p>
    <w:p w:rsidR="00C6160F" w:rsidRDefault="00C6160F" w:rsidP="00C759D7">
      <w:pPr>
        <w:pStyle w:val="a4"/>
        <w:widowControl/>
        <w:numPr>
          <w:ilvl w:val="0"/>
          <w:numId w:val="5"/>
        </w:numPr>
        <w:ind w:leftChars="0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麵筋</w:t>
      </w:r>
      <w:r>
        <w:rPr>
          <w:rFonts w:ascii="新細明體" w:hAnsi="新細明體" w:cs="新細明體" w:hint="eastAsia"/>
          <w:kern w:val="0"/>
          <w:szCs w:val="24"/>
        </w:rPr>
        <w:br/>
        <w:t>材料：</w:t>
      </w:r>
    </w:p>
    <w:p w:rsidR="00C6160F" w:rsidRDefault="00C6160F" w:rsidP="00B1608A">
      <w:pPr>
        <w:pStyle w:val="a4"/>
        <w:widowControl/>
        <w:numPr>
          <w:ilvl w:val="0"/>
          <w:numId w:val="6"/>
        </w:numPr>
        <w:ind w:leftChars="0" w:left="2268" w:hanging="108"/>
      </w:pPr>
      <w:r w:rsidRPr="00022C15">
        <w:t>高筋麵粉</w:t>
      </w:r>
      <w:r>
        <w:rPr>
          <w:rFonts w:hint="eastAsia"/>
        </w:rPr>
        <w:t>1500</w:t>
      </w:r>
      <w:r w:rsidRPr="00022C15">
        <w:t>克</w:t>
      </w:r>
    </w:p>
    <w:p w:rsidR="00C6160F" w:rsidRDefault="00C6160F" w:rsidP="00B1608A">
      <w:pPr>
        <w:pStyle w:val="a4"/>
        <w:widowControl/>
        <w:numPr>
          <w:ilvl w:val="0"/>
          <w:numId w:val="6"/>
        </w:numPr>
        <w:ind w:leftChars="0" w:left="2268" w:hanging="108"/>
      </w:pPr>
      <w:r w:rsidRPr="00022C15">
        <w:t>水</w:t>
      </w:r>
      <w:r>
        <w:rPr>
          <w:rFonts w:hint="eastAsia"/>
        </w:rPr>
        <w:t>900ml</w:t>
      </w:r>
    </w:p>
    <w:p w:rsidR="00C759D7" w:rsidRPr="00C6160F" w:rsidRDefault="00C6160F" w:rsidP="00B1608A">
      <w:pPr>
        <w:pStyle w:val="a4"/>
        <w:widowControl/>
        <w:numPr>
          <w:ilvl w:val="0"/>
          <w:numId w:val="6"/>
        </w:numPr>
        <w:ind w:leftChars="0" w:left="2268" w:hanging="108"/>
        <w:rPr>
          <w:rFonts w:ascii="新細明體" w:hAnsi="新細明體" w:cs="新細明體"/>
          <w:kern w:val="0"/>
          <w:szCs w:val="24"/>
        </w:rPr>
      </w:pPr>
      <w:r w:rsidRPr="00022C15">
        <w:t>鹽</w:t>
      </w:r>
      <w:r>
        <w:rPr>
          <w:rFonts w:hint="eastAsia"/>
        </w:rPr>
        <w:t>7.5g</w:t>
      </w:r>
      <w:r>
        <w:rPr>
          <w:rFonts w:hint="eastAsia"/>
        </w:rPr>
        <w:t>。</w:t>
      </w:r>
    </w:p>
    <w:p w:rsidR="00C6160F" w:rsidRPr="00C6160F" w:rsidRDefault="00C6160F" w:rsidP="00C6160F">
      <w:pPr>
        <w:pStyle w:val="a4"/>
        <w:widowControl/>
        <w:ind w:leftChars="0" w:left="1440"/>
        <w:rPr>
          <w:rFonts w:ascii="新細明體" w:hAnsi="新細明體" w:cs="新細明體"/>
          <w:kern w:val="0"/>
          <w:szCs w:val="24"/>
        </w:rPr>
      </w:pPr>
      <w:r>
        <w:rPr>
          <w:rFonts w:hint="eastAsia"/>
        </w:rPr>
        <w:t>做法：</w:t>
      </w:r>
    </w:p>
    <w:p w:rsidR="00C6160F" w:rsidRPr="00D26A4D" w:rsidRDefault="00C6160F" w:rsidP="00B1608A">
      <w:pPr>
        <w:pStyle w:val="a4"/>
        <w:numPr>
          <w:ilvl w:val="0"/>
          <w:numId w:val="7"/>
        </w:numPr>
        <w:ind w:leftChars="887" w:left="2268" w:hangingChars="58" w:hanging="139"/>
      </w:pPr>
      <w:r w:rsidRPr="00D26A4D">
        <w:t>將鹽巴在水中溶解，加在高筋麵粉裡，搓揉成麵糰。</w:t>
      </w:r>
    </w:p>
    <w:p w:rsidR="00C6160F" w:rsidRDefault="00C6160F" w:rsidP="00B1608A">
      <w:pPr>
        <w:pStyle w:val="a4"/>
        <w:widowControl/>
        <w:numPr>
          <w:ilvl w:val="0"/>
          <w:numId w:val="7"/>
        </w:numPr>
        <w:ind w:leftChars="887" w:left="2268" w:hangingChars="58" w:hanging="139"/>
      </w:pPr>
      <w:r w:rsidRPr="00D26A4D">
        <w:t>揉好的麵糰用保鮮膜包好，靜置至少</w:t>
      </w:r>
      <w:r w:rsidRPr="00D26A4D">
        <w:t>30</w:t>
      </w:r>
      <w:r w:rsidRPr="00D26A4D">
        <w:t>分鐘以上。</w:t>
      </w:r>
    </w:p>
    <w:p w:rsidR="00C6160F" w:rsidRDefault="00C6160F" w:rsidP="00B1608A">
      <w:pPr>
        <w:pStyle w:val="a4"/>
        <w:widowControl/>
        <w:numPr>
          <w:ilvl w:val="0"/>
          <w:numId w:val="7"/>
        </w:numPr>
        <w:ind w:leftChars="887" w:left="2268" w:hangingChars="58" w:hanging="139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用水洗去小麥澱粉，剩下的即是麵筋。</w:t>
      </w:r>
    </w:p>
    <w:p w:rsidR="00B1608A" w:rsidRDefault="00B1608A" w:rsidP="00B1608A">
      <w:pPr>
        <w:pStyle w:val="a4"/>
        <w:widowControl/>
        <w:numPr>
          <w:ilvl w:val="0"/>
          <w:numId w:val="7"/>
        </w:numPr>
        <w:ind w:leftChars="887" w:left="2268" w:hangingChars="58" w:hanging="139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切塊直徑約2cm，以沙拉油油炸。</w:t>
      </w:r>
    </w:p>
    <w:p w:rsidR="00B1608A" w:rsidRPr="00B1608A" w:rsidRDefault="00B1608A" w:rsidP="00B1608A">
      <w:pPr>
        <w:pStyle w:val="a4"/>
        <w:widowControl/>
        <w:numPr>
          <w:ilvl w:val="0"/>
          <w:numId w:val="7"/>
        </w:numPr>
        <w:ind w:leftChars="887" w:left="2268" w:hangingChars="58" w:hanging="139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以170℃油炸至膨脹，再以220℃油炸定型。</w:t>
      </w:r>
    </w:p>
    <w:p w:rsidR="00C759D7" w:rsidRPr="00C759D7" w:rsidRDefault="0060189A" w:rsidP="00C759D7">
      <w:pPr>
        <w:pStyle w:val="a4"/>
        <w:widowControl/>
        <w:numPr>
          <w:ilvl w:val="0"/>
          <w:numId w:val="5"/>
        </w:numPr>
        <w:ind w:leftChars="0"/>
        <w:rPr>
          <w:rFonts w:ascii="新細明體" w:hAnsi="新細明體" w:cs="新細明體"/>
          <w:kern w:val="0"/>
          <w:szCs w:val="24"/>
        </w:rPr>
      </w:pPr>
      <w:r w:rsidRPr="00C759D7">
        <w:rPr>
          <w:rFonts w:ascii="新細明體" w:hAnsi="新細明體" w:cs="新細明體"/>
          <w:kern w:val="0"/>
          <w:szCs w:val="24"/>
        </w:rPr>
        <w:t>罐頭＋罐蓋：洗淨、瀝乾→秤重</w:t>
      </w:r>
    </w:p>
    <w:p w:rsidR="00C759D7" w:rsidRPr="00C759D7" w:rsidRDefault="0060189A" w:rsidP="00C759D7">
      <w:pPr>
        <w:pStyle w:val="a4"/>
        <w:widowControl/>
        <w:numPr>
          <w:ilvl w:val="0"/>
          <w:numId w:val="5"/>
        </w:numPr>
        <w:ind w:leftChars="0"/>
        <w:rPr>
          <w:rFonts w:ascii="新細明體" w:hAnsi="新細明體" w:cs="新細明體"/>
          <w:kern w:val="0"/>
          <w:szCs w:val="24"/>
        </w:rPr>
      </w:pPr>
      <w:r w:rsidRPr="00C759D7">
        <w:rPr>
          <w:rFonts w:ascii="新細明體" w:hAnsi="新細明體" w:cs="新細明體"/>
          <w:kern w:val="0"/>
          <w:szCs w:val="24"/>
        </w:rPr>
        <w:t>調味液：混合所有材料→加水至總量為</w:t>
      </w:r>
      <w:r w:rsidR="00932FD8" w:rsidRPr="00C759D7">
        <w:rPr>
          <w:rFonts w:ascii="新細明體" w:hAnsi="新細明體" w:cs="新細明體" w:hint="eastAsia"/>
          <w:kern w:val="0"/>
          <w:szCs w:val="24"/>
        </w:rPr>
        <w:t>2400</w:t>
      </w:r>
      <w:r w:rsidRPr="00C759D7">
        <w:rPr>
          <w:rFonts w:ascii="新細明體" w:hAnsi="新細明體" w:cs="新細明體"/>
          <w:kern w:val="0"/>
          <w:szCs w:val="24"/>
        </w:rPr>
        <w:t>ml</w:t>
      </w:r>
    </w:p>
    <w:p w:rsidR="00C759D7" w:rsidRPr="00C759D7" w:rsidRDefault="0060189A" w:rsidP="00C759D7">
      <w:pPr>
        <w:pStyle w:val="a4"/>
        <w:widowControl/>
        <w:numPr>
          <w:ilvl w:val="0"/>
          <w:numId w:val="5"/>
        </w:numPr>
        <w:ind w:leftChars="0"/>
        <w:rPr>
          <w:rFonts w:ascii="新細明體" w:hAnsi="新細明體" w:cs="新細明體"/>
          <w:kern w:val="0"/>
          <w:szCs w:val="24"/>
        </w:rPr>
      </w:pPr>
      <w:r w:rsidRPr="00C759D7">
        <w:rPr>
          <w:rFonts w:ascii="新細明體" w:hAnsi="新細明體" w:cs="新細明體"/>
          <w:kern w:val="0"/>
          <w:szCs w:val="24"/>
        </w:rPr>
        <w:t>油泡麵筋＋花生＋調味液→小火煮至軟化、入味</w:t>
      </w:r>
    </w:p>
    <w:p w:rsidR="00C759D7" w:rsidRDefault="0060189A" w:rsidP="00B1608A">
      <w:pPr>
        <w:widowControl/>
        <w:ind w:leftChars="600" w:left="1440"/>
        <w:rPr>
          <w:rFonts w:ascii="新細明體" w:hAnsi="新細明體" w:cs="新細明體"/>
          <w:kern w:val="0"/>
          <w:szCs w:val="24"/>
        </w:rPr>
      </w:pPr>
      <w:r w:rsidRPr="00932FD8">
        <w:rPr>
          <w:rFonts w:ascii="新細明體" w:hAnsi="新細明體" w:cs="新細明體"/>
          <w:kern w:val="0"/>
          <w:szCs w:val="24"/>
        </w:rPr>
        <w:t>固形物＝麵筋＋花生≒</w:t>
      </w:r>
      <w:r w:rsidR="00B1608A">
        <w:rPr>
          <w:rFonts w:ascii="新細明體" w:hAnsi="新細明體" w:cs="新細明體" w:hint="eastAsia"/>
          <w:kern w:val="0"/>
          <w:szCs w:val="24"/>
        </w:rPr>
        <w:t>15</w:t>
      </w:r>
      <w:r w:rsidRPr="00932FD8">
        <w:rPr>
          <w:rFonts w:ascii="新細明體" w:hAnsi="新細明體" w:cs="新細明體"/>
          <w:kern w:val="0"/>
          <w:szCs w:val="24"/>
        </w:rPr>
        <w:t>0g</w:t>
      </w:r>
    </w:p>
    <w:p w:rsidR="00C759D7" w:rsidRDefault="0060189A" w:rsidP="00B1608A">
      <w:pPr>
        <w:widowControl/>
        <w:ind w:leftChars="600" w:left="1440"/>
        <w:rPr>
          <w:rFonts w:ascii="新細明體" w:hAnsi="新細明體" w:cs="新細明體"/>
          <w:kern w:val="0"/>
          <w:szCs w:val="24"/>
        </w:rPr>
      </w:pPr>
      <w:r w:rsidRPr="00932FD8">
        <w:rPr>
          <w:rFonts w:ascii="新細明體" w:hAnsi="新細明體" w:cs="新細明體"/>
          <w:kern w:val="0"/>
          <w:szCs w:val="24"/>
        </w:rPr>
        <w:t>內容物＝麵筋＋花生＋調味液≒2</w:t>
      </w:r>
      <w:r w:rsidR="00B1608A">
        <w:rPr>
          <w:rFonts w:ascii="新細明體" w:hAnsi="新細明體" w:cs="新細明體" w:hint="eastAsia"/>
          <w:kern w:val="0"/>
          <w:szCs w:val="24"/>
        </w:rPr>
        <w:t>0</w:t>
      </w:r>
      <w:r w:rsidRPr="00932FD8">
        <w:rPr>
          <w:rFonts w:ascii="新細明體" w:hAnsi="新細明體" w:cs="新細明體"/>
          <w:kern w:val="0"/>
          <w:szCs w:val="24"/>
        </w:rPr>
        <w:t>0g</w:t>
      </w:r>
    </w:p>
    <w:p w:rsidR="00C759D7" w:rsidRPr="000D7EA3" w:rsidRDefault="0060189A" w:rsidP="000D7EA3">
      <w:pPr>
        <w:pStyle w:val="a4"/>
        <w:widowControl/>
        <w:numPr>
          <w:ilvl w:val="0"/>
          <w:numId w:val="4"/>
        </w:numPr>
        <w:ind w:leftChars="0"/>
        <w:rPr>
          <w:rFonts w:ascii="新細明體" w:hAnsi="新細明體" w:cs="新細明體"/>
          <w:kern w:val="0"/>
          <w:szCs w:val="24"/>
        </w:rPr>
      </w:pPr>
      <w:r w:rsidRPr="000D7EA3">
        <w:rPr>
          <w:rFonts w:ascii="新細明體" w:hAnsi="新細明體" w:cs="新細明體"/>
          <w:kern w:val="0"/>
          <w:szCs w:val="24"/>
        </w:rPr>
        <w:t>裝罐、秤重→脫氣</w:t>
      </w:r>
      <w:r w:rsidR="000D7EA3" w:rsidRPr="000D7EA3">
        <w:rPr>
          <w:rFonts w:ascii="新細明體" w:hAnsi="新細明體" w:cs="新細明體" w:hint="eastAsia"/>
          <w:kern w:val="0"/>
          <w:szCs w:val="24"/>
        </w:rPr>
        <w:t>(罐頭內部溫度達到80℃)</w:t>
      </w:r>
      <w:r w:rsidRPr="000D7EA3">
        <w:rPr>
          <w:rFonts w:ascii="新細明體" w:hAnsi="新細明體" w:cs="新細明體"/>
          <w:kern w:val="0"/>
          <w:szCs w:val="24"/>
        </w:rPr>
        <w:t>→密封（封罐機）→殺菌（殺菌釜121℃、</w:t>
      </w:r>
      <w:r w:rsidR="00B1608A" w:rsidRPr="000D7EA3">
        <w:rPr>
          <w:rFonts w:ascii="新細明體" w:hAnsi="新細明體" w:cs="新細明體" w:hint="eastAsia"/>
          <w:kern w:val="0"/>
          <w:szCs w:val="24"/>
        </w:rPr>
        <w:t>20</w:t>
      </w:r>
      <w:r w:rsidRPr="000D7EA3">
        <w:rPr>
          <w:rFonts w:ascii="新細明體" w:hAnsi="新細明體" w:cs="新細明體"/>
          <w:kern w:val="0"/>
          <w:szCs w:val="24"/>
        </w:rPr>
        <w:t>min）→</w:t>
      </w:r>
      <w:r w:rsidR="00932FD8" w:rsidRPr="000D7EA3">
        <w:rPr>
          <w:rFonts w:ascii="新細明體" w:hAnsi="新細明體" w:cs="新細明體" w:hint="eastAsia"/>
          <w:kern w:val="0"/>
          <w:szCs w:val="24"/>
        </w:rPr>
        <w:t>以2~7ppm氯水</w:t>
      </w:r>
      <w:r w:rsidRPr="000D7EA3">
        <w:rPr>
          <w:rFonts w:ascii="新細明體" w:hAnsi="新細明體" w:cs="新細明體"/>
          <w:kern w:val="0"/>
          <w:szCs w:val="24"/>
        </w:rPr>
        <w:t>冷卻</w:t>
      </w:r>
      <w:r w:rsidR="001D179E">
        <w:rPr>
          <w:rFonts w:ascii="新細明體" w:hAnsi="新細明體" w:cs="新細明體" w:hint="eastAsia"/>
          <w:kern w:val="0"/>
          <w:szCs w:val="24"/>
        </w:rPr>
        <w:t>至30~40℃</w:t>
      </w:r>
      <w:r w:rsidRPr="000D7EA3">
        <w:rPr>
          <w:rFonts w:ascii="新細明體" w:hAnsi="新細明體" w:cs="新細明體"/>
          <w:kern w:val="0"/>
          <w:szCs w:val="24"/>
        </w:rPr>
        <w:t>→擦拭乾淨。</w:t>
      </w:r>
    </w:p>
    <w:p w:rsidR="009F3470" w:rsidRDefault="0060189A" w:rsidP="000D7EA3">
      <w:pPr>
        <w:pStyle w:val="a4"/>
        <w:widowControl/>
        <w:numPr>
          <w:ilvl w:val="0"/>
          <w:numId w:val="4"/>
        </w:numPr>
        <w:ind w:leftChars="0"/>
        <w:rPr>
          <w:rFonts w:ascii="新細明體" w:hAnsi="新細明體" w:cs="新細明體"/>
          <w:kern w:val="0"/>
          <w:szCs w:val="24"/>
        </w:rPr>
      </w:pPr>
      <w:r w:rsidRPr="000D7EA3">
        <w:rPr>
          <w:rFonts w:ascii="新細明體" w:hAnsi="新細明體" w:cs="新細明體"/>
          <w:kern w:val="0"/>
          <w:szCs w:val="24"/>
        </w:rPr>
        <w:t>秤重、罐頭外觀檢查、開罐檢查</w:t>
      </w:r>
      <w:r w:rsidR="000D7EA3">
        <w:rPr>
          <w:rFonts w:ascii="新細明體" w:hAnsi="新細明體" w:cs="新細明體" w:hint="eastAsia"/>
          <w:kern w:val="0"/>
          <w:szCs w:val="24"/>
        </w:rPr>
        <w:br/>
      </w:r>
      <w:r w:rsidRPr="000D7EA3">
        <w:rPr>
          <w:rFonts w:ascii="新細明體" w:hAnsi="新細明體" w:cs="新細明體"/>
          <w:kern w:val="0"/>
          <w:szCs w:val="24"/>
        </w:rPr>
        <w:t>罐頭外觀檢查：是否</w:t>
      </w:r>
      <w:r w:rsidR="009F3470">
        <w:rPr>
          <w:rFonts w:ascii="新細明體" w:hAnsi="新細明體" w:cs="新細明體" w:hint="eastAsia"/>
          <w:kern w:val="0"/>
          <w:szCs w:val="24"/>
        </w:rPr>
        <w:t>有</w:t>
      </w:r>
      <w:r w:rsidR="009F3470">
        <w:rPr>
          <w:rFonts w:ascii="新細明體" w:hAnsi="新細明體" w:cs="新細明體"/>
          <w:kern w:val="0"/>
          <w:szCs w:val="24"/>
        </w:rPr>
        <w:t>急跳罐、彈性罐、軟膨罐、硬膨罐、捲封不良、銹罐</w:t>
      </w:r>
      <w:r w:rsidR="009F3470">
        <w:rPr>
          <w:rFonts w:ascii="新細明體" w:hAnsi="新細明體" w:cs="新細明體" w:hint="eastAsia"/>
          <w:kern w:val="0"/>
          <w:szCs w:val="24"/>
        </w:rPr>
        <w:t>。</w:t>
      </w:r>
    </w:p>
    <w:p w:rsidR="009F3470" w:rsidRDefault="009F3470">
      <w:pPr>
        <w:widowControl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br w:type="page"/>
      </w:r>
    </w:p>
    <w:p w:rsidR="0060189A" w:rsidRDefault="009F3470" w:rsidP="009F3470">
      <w:pPr>
        <w:widowControl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lastRenderedPageBreak/>
        <w:t>實驗結果與討論</w:t>
      </w:r>
      <w:r w:rsidR="00761A6C">
        <w:rPr>
          <w:rFonts w:ascii="新細明體" w:hAnsi="新細明體" w:cs="新細明體"/>
          <w:kern w:val="0"/>
          <w:szCs w:val="24"/>
        </w:rPr>
        <w:br/>
      </w:r>
    </w:p>
    <w:p w:rsidR="00130379" w:rsidRDefault="009F3470" w:rsidP="00E041B7">
      <w:pPr>
        <w:widowControl/>
        <w:ind w:firstLine="48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本次實驗分為四組，A組為正常配方，B組花生為市售預煮的花生，C組是將麥芽糖取代成蔗糖，D組為預煮花生加上將麥芽糖取代成蔗糖。</w:t>
      </w:r>
      <w:r w:rsidR="00761A6C">
        <w:rPr>
          <w:rFonts w:ascii="新細明體" w:hAnsi="新細明體" w:cs="新細明體"/>
          <w:kern w:val="0"/>
          <w:szCs w:val="24"/>
        </w:rPr>
        <w:br/>
      </w:r>
    </w:p>
    <w:p w:rsidR="00714490" w:rsidRDefault="00714490" w:rsidP="009F3470">
      <w:pPr>
        <w:widowControl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結果品評：</w:t>
      </w:r>
    </w:p>
    <w:tbl>
      <w:tblPr>
        <w:tblStyle w:val="a3"/>
        <w:tblW w:w="0" w:type="auto"/>
        <w:tblInd w:w="1180" w:type="dxa"/>
        <w:tblLook w:val="04A0"/>
      </w:tblPr>
      <w:tblGrid>
        <w:gridCol w:w="1373"/>
        <w:gridCol w:w="2079"/>
        <w:gridCol w:w="2079"/>
      </w:tblGrid>
      <w:tr w:rsidR="00130379" w:rsidTr="00714490">
        <w:trPr>
          <w:trHeight w:val="413"/>
        </w:trPr>
        <w:tc>
          <w:tcPr>
            <w:tcW w:w="1373" w:type="dxa"/>
            <w:tcBorders>
              <w:tl2br w:val="single" w:sz="4" w:space="0" w:color="auto"/>
            </w:tcBorders>
          </w:tcPr>
          <w:p w:rsidR="00130379" w:rsidRDefault="00130379" w:rsidP="0071449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79" w:type="dxa"/>
          </w:tcPr>
          <w:p w:rsidR="00130379" w:rsidRDefault="00130379" w:rsidP="0071449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麥芽糖加蔗糖</w:t>
            </w:r>
          </w:p>
        </w:tc>
        <w:tc>
          <w:tcPr>
            <w:tcW w:w="2079" w:type="dxa"/>
          </w:tcPr>
          <w:p w:rsidR="00130379" w:rsidRDefault="00130379" w:rsidP="0071449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只有蔗糖</w:t>
            </w:r>
          </w:p>
        </w:tc>
      </w:tr>
      <w:tr w:rsidR="00130379" w:rsidTr="00714490">
        <w:trPr>
          <w:trHeight w:val="825"/>
        </w:trPr>
        <w:tc>
          <w:tcPr>
            <w:tcW w:w="1373" w:type="dxa"/>
          </w:tcPr>
          <w:p w:rsidR="00130379" w:rsidRDefault="00130379" w:rsidP="0071449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自行處理的花生</w:t>
            </w:r>
          </w:p>
        </w:tc>
        <w:tc>
          <w:tcPr>
            <w:tcW w:w="2079" w:type="dxa"/>
          </w:tcPr>
          <w:p w:rsidR="00130379" w:rsidRDefault="0098133D" w:rsidP="0071449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花生較軟入味，整體風味上較</w:t>
            </w:r>
            <w:r w:rsidR="00714490">
              <w:rPr>
                <w:rFonts w:ascii="新細明體" w:hAnsi="新細明體" w:cs="新細明體" w:hint="eastAsia"/>
                <w:kern w:val="0"/>
                <w:szCs w:val="24"/>
              </w:rPr>
              <w:t>佳。</w:t>
            </w:r>
          </w:p>
        </w:tc>
        <w:tc>
          <w:tcPr>
            <w:tcW w:w="2079" w:type="dxa"/>
          </w:tcPr>
          <w:p w:rsidR="00130379" w:rsidRDefault="00714490" w:rsidP="0071449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色澤較暗，具有甜膩感。</w:t>
            </w:r>
          </w:p>
        </w:tc>
      </w:tr>
      <w:tr w:rsidR="00130379" w:rsidTr="00714490">
        <w:trPr>
          <w:trHeight w:val="413"/>
        </w:trPr>
        <w:tc>
          <w:tcPr>
            <w:tcW w:w="1373" w:type="dxa"/>
          </w:tcPr>
          <w:p w:rsidR="00130379" w:rsidRDefault="00130379" w:rsidP="0071449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市售已處理過花生</w:t>
            </w:r>
          </w:p>
        </w:tc>
        <w:tc>
          <w:tcPr>
            <w:tcW w:w="2079" w:type="dxa"/>
          </w:tcPr>
          <w:p w:rsidR="00714490" w:rsidRDefault="00714490" w:rsidP="0071449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花生較硬，入味程度較低。</w:t>
            </w:r>
          </w:p>
        </w:tc>
        <w:tc>
          <w:tcPr>
            <w:tcW w:w="2079" w:type="dxa"/>
          </w:tcPr>
          <w:p w:rsidR="00130379" w:rsidRDefault="00714490" w:rsidP="0071449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花生未入味且整體風味較差。</w:t>
            </w:r>
          </w:p>
        </w:tc>
      </w:tr>
    </w:tbl>
    <w:p w:rsidR="00130379" w:rsidRDefault="00714490" w:rsidP="009F3470">
      <w:pPr>
        <w:widowControl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討論：</w:t>
      </w:r>
    </w:p>
    <w:p w:rsidR="00495E6D" w:rsidRDefault="00495E6D" w:rsidP="00714490">
      <w:pPr>
        <w:pStyle w:val="a4"/>
        <w:widowControl/>
        <w:numPr>
          <w:ilvl w:val="0"/>
          <w:numId w:val="8"/>
        </w:numPr>
        <w:ind w:leftChars="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在揉麵糰時，需添加0.5%的食鹽，以利麵筋的形成及使其結構組織增強。</w:t>
      </w:r>
    </w:p>
    <w:p w:rsidR="00714490" w:rsidRDefault="00714490" w:rsidP="00714490">
      <w:pPr>
        <w:pStyle w:val="a4"/>
        <w:widowControl/>
        <w:numPr>
          <w:ilvl w:val="0"/>
          <w:numId w:val="8"/>
        </w:numPr>
        <w:ind w:leftChars="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由於本次麵筋是用手工製作，</w:t>
      </w:r>
      <w:r w:rsidR="00CE49B8">
        <w:rPr>
          <w:rFonts w:ascii="新細明體" w:hAnsi="新細明體" w:cs="新細明體" w:hint="eastAsia"/>
          <w:kern w:val="0"/>
          <w:szCs w:val="24"/>
        </w:rPr>
        <w:t>未充分揉麵糰，</w:t>
      </w:r>
      <w:r>
        <w:rPr>
          <w:rFonts w:ascii="新細明體" w:hAnsi="新細明體" w:cs="新細明體" w:hint="eastAsia"/>
          <w:kern w:val="0"/>
          <w:szCs w:val="24"/>
        </w:rPr>
        <w:t>因此產率較機器製作的產率低。</w:t>
      </w:r>
    </w:p>
    <w:p w:rsidR="00CE49B8" w:rsidRDefault="00CE49B8" w:rsidP="00714490">
      <w:pPr>
        <w:pStyle w:val="a4"/>
        <w:widowControl/>
        <w:numPr>
          <w:ilvl w:val="0"/>
          <w:numId w:val="8"/>
        </w:numPr>
        <w:ind w:leftChars="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自行處理的花生會較</w:t>
      </w:r>
      <w:r w:rsidR="00495E6D">
        <w:rPr>
          <w:rFonts w:ascii="新細明體" w:hAnsi="新細明體" w:cs="新細明體" w:hint="eastAsia"/>
          <w:kern w:val="0"/>
          <w:szCs w:val="24"/>
        </w:rPr>
        <w:t>市售已處理的</w:t>
      </w:r>
      <w:r>
        <w:rPr>
          <w:rFonts w:ascii="新細明體" w:hAnsi="新細明體" w:cs="新細明體" w:hint="eastAsia"/>
          <w:kern w:val="0"/>
          <w:szCs w:val="24"/>
        </w:rPr>
        <w:t>花生來的入味且柔軟是因市售</w:t>
      </w:r>
      <w:r w:rsidR="00495E6D">
        <w:rPr>
          <w:rFonts w:ascii="新細明體" w:hAnsi="新細明體" w:cs="新細明體" w:hint="eastAsia"/>
          <w:kern w:val="0"/>
          <w:szCs w:val="24"/>
        </w:rPr>
        <w:t>已處理的</w:t>
      </w:r>
      <w:r>
        <w:rPr>
          <w:rFonts w:ascii="新細明體" w:hAnsi="新細明體" w:cs="新細明體" w:hint="eastAsia"/>
          <w:kern w:val="0"/>
          <w:szCs w:val="24"/>
        </w:rPr>
        <w:t>花生</w:t>
      </w:r>
      <w:r w:rsidR="00495E6D">
        <w:rPr>
          <w:rFonts w:ascii="新細明體" w:hAnsi="新細明體" w:cs="新細明體" w:hint="eastAsia"/>
          <w:kern w:val="0"/>
          <w:szCs w:val="24"/>
        </w:rPr>
        <w:t>在煮之前未經泡水處理。</w:t>
      </w:r>
    </w:p>
    <w:p w:rsidR="00495E6D" w:rsidRPr="00495E6D" w:rsidRDefault="00495E6D" w:rsidP="00495E6D">
      <w:pPr>
        <w:pStyle w:val="a4"/>
        <w:widowControl/>
        <w:numPr>
          <w:ilvl w:val="0"/>
          <w:numId w:val="8"/>
        </w:numPr>
        <w:ind w:leftChars="0"/>
        <w:rPr>
          <w:rFonts w:ascii="新細明體" w:hAnsi="新細明體" w:cs="新細明體" w:hint="eastAsia"/>
          <w:kern w:val="0"/>
          <w:szCs w:val="24"/>
        </w:rPr>
      </w:pPr>
      <w:r w:rsidRPr="00495E6D">
        <w:rPr>
          <w:rFonts w:ascii="新細明體" w:hAnsi="新細明體" w:cs="新細明體" w:hint="eastAsia"/>
          <w:kern w:val="0"/>
          <w:szCs w:val="24"/>
        </w:rPr>
        <w:t>由於麥芽糖甜度約為蔗糖的0.46，因此換算成蔗糖為36.8g，所以在C組及D組以36.8g的蔗糖取代80g的麥芽糖。</w:t>
      </w:r>
    </w:p>
    <w:p w:rsidR="00495E6D" w:rsidRDefault="00495E6D" w:rsidP="00714490">
      <w:pPr>
        <w:pStyle w:val="a4"/>
        <w:widowControl/>
        <w:numPr>
          <w:ilvl w:val="0"/>
          <w:numId w:val="8"/>
        </w:numPr>
        <w:ind w:leftChars="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添加麥芽糖的罐頭，其風味上及色澤上皆較未添加麥芽糖的罐頭佳。</w:t>
      </w:r>
      <w:r w:rsidR="00761A6C">
        <w:rPr>
          <w:rFonts w:ascii="新細明體" w:hAnsi="新細明體" w:cs="新細明體"/>
          <w:kern w:val="0"/>
          <w:szCs w:val="24"/>
        </w:rPr>
        <w:br/>
      </w:r>
    </w:p>
    <w:p w:rsidR="00E041B7" w:rsidRDefault="00E041B7" w:rsidP="00E041B7">
      <w:pPr>
        <w:widowControl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問題：</w:t>
      </w:r>
    </w:p>
    <w:p w:rsidR="00E041B7" w:rsidRDefault="00E041B7" w:rsidP="00E041B7">
      <w:pPr>
        <w:pStyle w:val="a4"/>
        <w:widowControl/>
        <w:numPr>
          <w:ilvl w:val="0"/>
          <w:numId w:val="9"/>
        </w:numPr>
        <w:ind w:leftChars="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為何配方中要使用麥芽糖加蔗糖，而不單純使用蔗糖？</w:t>
      </w:r>
    </w:p>
    <w:p w:rsidR="00E041B7" w:rsidRDefault="00E041B7" w:rsidP="00E041B7">
      <w:pPr>
        <w:pStyle w:val="a4"/>
        <w:widowControl/>
        <w:ind w:firstLine="480"/>
        <w:rPr>
          <w:rFonts w:ascii="新細明體" w:hAnsi="新細明體" w:cs="新細明體" w:hint="eastAsia"/>
          <w:kern w:val="0"/>
          <w:szCs w:val="24"/>
        </w:rPr>
      </w:pPr>
      <w:r w:rsidRPr="00E041B7">
        <w:rPr>
          <w:rFonts w:ascii="新細明體" w:hAnsi="新細明體" w:cs="新細明體" w:hint="eastAsia"/>
          <w:kern w:val="0"/>
          <w:szCs w:val="24"/>
        </w:rPr>
        <w:t>麥芽糖是一種低甜度的澱粉糖，它是以天然小麥和糯米做為原料，與蔗糖相混合使用，可降低原有食品的甜膩感，增加清淡美味之口感。</w:t>
      </w:r>
      <w:r>
        <w:rPr>
          <w:rFonts w:ascii="新細明體" w:hAnsi="新細明體" w:cs="新細明體" w:hint="eastAsia"/>
          <w:kern w:val="0"/>
          <w:szCs w:val="24"/>
        </w:rPr>
        <w:t>還可以抑制砂糖結晶，改善口感。而且可增進食品中光澤，使成品色澤更為光亮。</w:t>
      </w:r>
      <w:r w:rsidR="00761A6C">
        <w:rPr>
          <w:rFonts w:ascii="新細明體" w:hAnsi="新細明體" w:cs="新細明體"/>
          <w:kern w:val="0"/>
          <w:szCs w:val="24"/>
        </w:rPr>
        <w:br/>
      </w:r>
    </w:p>
    <w:p w:rsidR="00E041B7" w:rsidRDefault="00E041B7" w:rsidP="00351345">
      <w:pPr>
        <w:pStyle w:val="a4"/>
        <w:widowControl/>
        <w:numPr>
          <w:ilvl w:val="0"/>
          <w:numId w:val="9"/>
        </w:numPr>
        <w:ind w:leftChars="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油炸時為何使用170℃、220℃兩段式油炸</w:t>
      </w:r>
      <w:r w:rsidR="00351345">
        <w:rPr>
          <w:rFonts w:ascii="新細明體" w:hAnsi="新細明體" w:cs="新細明體" w:hint="eastAsia"/>
          <w:kern w:val="0"/>
          <w:szCs w:val="24"/>
        </w:rPr>
        <w:t>?且油炸用油為何選用沙拉油?</w:t>
      </w:r>
    </w:p>
    <w:p w:rsidR="00351345" w:rsidRDefault="00351345" w:rsidP="00351345">
      <w:pPr>
        <w:widowControl/>
        <w:ind w:left="480" w:firstLine="48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利用兩段是油炸可讓麵筋大小一致，並且去除多餘的油脂。而使用沙拉油是因為沙拉油熔點較低，麵筋罐頭在常溫存放時內部液體不易因油脂凝固而造成混濁。若是使用油炸用油由於其熔點較高，易使罐頭內部液體混濁，影響產品外觀。</w:t>
      </w:r>
      <w:r w:rsidR="00761A6C">
        <w:rPr>
          <w:rFonts w:ascii="新細明體" w:hAnsi="新細明體" w:cs="新細明體"/>
          <w:kern w:val="0"/>
          <w:szCs w:val="24"/>
        </w:rPr>
        <w:br/>
      </w:r>
    </w:p>
    <w:p w:rsidR="00351345" w:rsidRDefault="00351345" w:rsidP="00351345">
      <w:pPr>
        <w:pStyle w:val="a4"/>
        <w:widowControl/>
        <w:numPr>
          <w:ilvl w:val="0"/>
          <w:numId w:val="9"/>
        </w:numPr>
        <w:ind w:leftChars="0"/>
        <w:rPr>
          <w:rFonts w:ascii="新細明體" w:hAnsi="新細明體" w:cs="新細明體" w:hint="eastAsia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試述麵筋形成的機制。</w:t>
      </w:r>
    </w:p>
    <w:p w:rsidR="00351345" w:rsidRPr="00351345" w:rsidRDefault="00761A6C" w:rsidP="00761A6C">
      <w:pPr>
        <w:widowControl/>
        <w:ind w:left="480" w:firstLine="480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麵粉加水經由外力作用，會使其中gliadins產生分子間的鍵結造就其彈性及giutenin提供延展性。而麵筋中各成份之間以氫鍵、疏水性作用及雙硫鍵結而成。</w:t>
      </w:r>
      <w:r w:rsidR="00B41CCB">
        <w:rPr>
          <w:rFonts w:ascii="新細明體" w:hAnsi="新細明體" w:cs="新細明體"/>
          <w:kern w:val="0"/>
          <w:szCs w:val="24"/>
        </w:rPr>
        <w:br/>
      </w:r>
      <w:r w:rsidR="00B41CCB">
        <w:rPr>
          <w:rFonts w:ascii="新細明體" w:hAnsi="新細明體" w:cs="新細明體" w:hint="eastAsia"/>
          <w:kern w:val="0"/>
          <w:szCs w:val="24"/>
        </w:rPr>
        <w:br/>
      </w:r>
      <w:r w:rsidR="00B41CCB">
        <w:rPr>
          <w:rFonts w:ascii="新細明體" w:hAnsi="新細明體" w:cs="新細明體" w:hint="eastAsia"/>
          <w:kern w:val="0"/>
          <w:szCs w:val="24"/>
        </w:rPr>
        <w:br/>
        <w:t>註：由於罐頭部分上學期已有討論，故報告著重於土豆麵筋之製作過程。</w:t>
      </w:r>
    </w:p>
    <w:sectPr w:rsidR="00351345" w:rsidRPr="00351345" w:rsidSect="008339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C6" w:rsidRDefault="00FA23C6" w:rsidP="000D7EA3">
      <w:r>
        <w:separator/>
      </w:r>
    </w:p>
  </w:endnote>
  <w:endnote w:type="continuationSeparator" w:id="1">
    <w:p w:rsidR="00FA23C6" w:rsidRDefault="00FA23C6" w:rsidP="000D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C6" w:rsidRDefault="00FA23C6" w:rsidP="000D7EA3">
      <w:r>
        <w:separator/>
      </w:r>
    </w:p>
  </w:footnote>
  <w:footnote w:type="continuationSeparator" w:id="1">
    <w:p w:rsidR="00FA23C6" w:rsidRDefault="00FA23C6" w:rsidP="000D7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468"/>
    <w:multiLevelType w:val="hybridMultilevel"/>
    <w:tmpl w:val="CA2E00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64478"/>
    <w:multiLevelType w:val="hybridMultilevel"/>
    <w:tmpl w:val="073E26FE"/>
    <w:lvl w:ilvl="0" w:tplc="0409001B">
      <w:start w:val="1"/>
      <w:numFmt w:val="lowerRoman"/>
      <w:lvlText w:val="%1."/>
      <w:lvlJc w:val="right"/>
      <w:pPr>
        <w:ind w:left="3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2">
    <w:nsid w:val="13611A6B"/>
    <w:multiLevelType w:val="hybridMultilevel"/>
    <w:tmpl w:val="2CF06F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DE3908"/>
    <w:multiLevelType w:val="hybridMultilevel"/>
    <w:tmpl w:val="6130D03A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5D47CBF"/>
    <w:multiLevelType w:val="hybridMultilevel"/>
    <w:tmpl w:val="E0884B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22863C8"/>
    <w:multiLevelType w:val="hybridMultilevel"/>
    <w:tmpl w:val="8326BE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D7B4F46"/>
    <w:multiLevelType w:val="hybridMultilevel"/>
    <w:tmpl w:val="6B24BFE4"/>
    <w:lvl w:ilvl="0" w:tplc="804C7A4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B57128"/>
    <w:multiLevelType w:val="hybridMultilevel"/>
    <w:tmpl w:val="BEA67E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C90729F"/>
    <w:multiLevelType w:val="hybridMultilevel"/>
    <w:tmpl w:val="FFCA956A"/>
    <w:lvl w:ilvl="0" w:tplc="0409001B">
      <w:start w:val="1"/>
      <w:numFmt w:val="lowerRoman"/>
      <w:lvlText w:val="%1."/>
      <w:lvlJc w:val="righ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C96"/>
    <w:rsid w:val="000D7EA3"/>
    <w:rsid w:val="000E2461"/>
    <w:rsid w:val="00130379"/>
    <w:rsid w:val="001D179E"/>
    <w:rsid w:val="00351345"/>
    <w:rsid w:val="00495E6D"/>
    <w:rsid w:val="005B25ED"/>
    <w:rsid w:val="0060189A"/>
    <w:rsid w:val="00714490"/>
    <w:rsid w:val="007406F9"/>
    <w:rsid w:val="00761A6C"/>
    <w:rsid w:val="00833940"/>
    <w:rsid w:val="008E1889"/>
    <w:rsid w:val="00904441"/>
    <w:rsid w:val="00932FD8"/>
    <w:rsid w:val="0098133D"/>
    <w:rsid w:val="009F3470"/>
    <w:rsid w:val="00A44EF4"/>
    <w:rsid w:val="00AA143C"/>
    <w:rsid w:val="00B1608A"/>
    <w:rsid w:val="00B41CCB"/>
    <w:rsid w:val="00C46602"/>
    <w:rsid w:val="00C6160F"/>
    <w:rsid w:val="00C759D7"/>
    <w:rsid w:val="00CE49B8"/>
    <w:rsid w:val="00D24CED"/>
    <w:rsid w:val="00D43CB1"/>
    <w:rsid w:val="00D52C96"/>
    <w:rsid w:val="00DD6FC5"/>
    <w:rsid w:val="00E041B7"/>
    <w:rsid w:val="00FA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9D7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C6160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7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D7EA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D7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D7EA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40DB-BE01-4ED0-A0CF-3BD6312B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8</cp:revision>
  <dcterms:created xsi:type="dcterms:W3CDTF">2008-05-19T15:46:00Z</dcterms:created>
  <dcterms:modified xsi:type="dcterms:W3CDTF">2008-06-05T08:16:00Z</dcterms:modified>
</cp:coreProperties>
</file>