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7F717" w14:textId="77777777" w:rsidR="00196FFE" w:rsidRPr="004D2C0C" w:rsidRDefault="00196FFE" w:rsidP="000A3747">
      <w:pPr>
        <w:spacing w:line="500" w:lineRule="atLeast"/>
        <w:jc w:val="center"/>
        <w:rPr>
          <w:rFonts w:eastAsia="標楷體"/>
          <w:b/>
          <w:bCs/>
          <w:sz w:val="40"/>
          <w:szCs w:val="40"/>
        </w:rPr>
      </w:pPr>
      <w:r w:rsidRPr="004D2C0C">
        <w:rPr>
          <w:rFonts w:eastAsia="標楷體"/>
          <w:b/>
          <w:bCs/>
          <w:sz w:val="40"/>
          <w:szCs w:val="40"/>
        </w:rPr>
        <w:t>輔仁大學民生學院食品科學系教師升等辦法</w:t>
      </w:r>
    </w:p>
    <w:p w14:paraId="335EE45B" w14:textId="77777777" w:rsidR="0048375A" w:rsidRPr="004D2C0C" w:rsidRDefault="0048375A" w:rsidP="00353A41">
      <w:pPr>
        <w:snapToGrid w:val="0"/>
        <w:spacing w:line="240" w:lineRule="auto"/>
        <w:ind w:rightChars="-6" w:right="-14"/>
        <w:jc w:val="right"/>
        <w:rPr>
          <w:rFonts w:eastAsia="標楷體"/>
          <w:sz w:val="20"/>
        </w:rPr>
      </w:pPr>
      <w:r w:rsidRPr="004D2C0C">
        <w:rPr>
          <w:rFonts w:eastAsia="標楷體" w:hint="eastAsia"/>
          <w:sz w:val="20"/>
        </w:rPr>
        <w:t>前略</w:t>
      </w:r>
    </w:p>
    <w:p w14:paraId="5A6B36F9" w14:textId="77777777" w:rsidR="008C2703" w:rsidRPr="004D2C0C" w:rsidRDefault="00B365E8" w:rsidP="00353A41">
      <w:pPr>
        <w:snapToGrid w:val="0"/>
        <w:spacing w:line="240" w:lineRule="auto"/>
        <w:ind w:rightChars="-6" w:right="-14"/>
        <w:jc w:val="right"/>
        <w:rPr>
          <w:rFonts w:eastAsia="標楷體"/>
          <w:sz w:val="20"/>
        </w:rPr>
      </w:pPr>
      <w:r w:rsidRPr="004D2C0C">
        <w:rPr>
          <w:rFonts w:eastAsia="標楷體"/>
          <w:sz w:val="20"/>
        </w:rPr>
        <w:t>10</w:t>
      </w:r>
      <w:r w:rsidRPr="004D2C0C">
        <w:rPr>
          <w:rFonts w:eastAsia="標楷體" w:hint="eastAsia"/>
          <w:sz w:val="20"/>
        </w:rPr>
        <w:t>6</w:t>
      </w:r>
      <w:r w:rsidRPr="004D2C0C">
        <w:rPr>
          <w:rFonts w:eastAsia="標楷體"/>
          <w:sz w:val="20"/>
        </w:rPr>
        <w:t>.</w:t>
      </w:r>
      <w:r w:rsidRPr="004D2C0C">
        <w:rPr>
          <w:rFonts w:eastAsia="標楷體" w:hint="eastAsia"/>
          <w:sz w:val="20"/>
        </w:rPr>
        <w:t>9</w:t>
      </w:r>
      <w:r w:rsidRPr="004D2C0C">
        <w:rPr>
          <w:rFonts w:eastAsia="標楷體"/>
          <w:sz w:val="20"/>
        </w:rPr>
        <w:t>.</w:t>
      </w:r>
      <w:r w:rsidRPr="004D2C0C">
        <w:rPr>
          <w:rFonts w:eastAsia="標楷體" w:hint="eastAsia"/>
          <w:sz w:val="20"/>
        </w:rPr>
        <w:t>15</w:t>
      </w:r>
      <w:r w:rsidRPr="004D2C0C">
        <w:rPr>
          <w:rFonts w:eastAsia="標楷體"/>
          <w:sz w:val="20"/>
        </w:rPr>
        <w:t>. 10</w:t>
      </w:r>
      <w:r w:rsidRPr="004D2C0C">
        <w:rPr>
          <w:rFonts w:eastAsia="標楷體" w:hint="eastAsia"/>
          <w:sz w:val="20"/>
        </w:rPr>
        <w:t>6</w:t>
      </w:r>
      <w:r w:rsidRPr="004D2C0C">
        <w:rPr>
          <w:rFonts w:eastAsia="標楷體"/>
          <w:sz w:val="20"/>
        </w:rPr>
        <w:t>學年度第</w:t>
      </w:r>
      <w:r w:rsidRPr="004D2C0C">
        <w:rPr>
          <w:rFonts w:eastAsia="標楷體" w:hint="eastAsia"/>
          <w:sz w:val="20"/>
        </w:rPr>
        <w:t>1</w:t>
      </w:r>
      <w:r w:rsidRPr="004D2C0C">
        <w:rPr>
          <w:rFonts w:eastAsia="標楷體"/>
          <w:sz w:val="20"/>
        </w:rPr>
        <w:t>次系教評會議</w:t>
      </w:r>
      <w:r w:rsidRPr="004D2C0C">
        <w:rPr>
          <w:rFonts w:eastAsia="標楷體" w:hint="eastAsia"/>
          <w:sz w:val="20"/>
        </w:rPr>
        <w:t>修訂</w:t>
      </w:r>
    </w:p>
    <w:p w14:paraId="5E28C5F9" w14:textId="77777777" w:rsidR="00B365E8" w:rsidRPr="004D2C0C" w:rsidRDefault="008C2703" w:rsidP="00353A41">
      <w:pPr>
        <w:snapToGrid w:val="0"/>
        <w:spacing w:line="240" w:lineRule="auto"/>
        <w:ind w:rightChars="-6" w:right="-14"/>
        <w:jc w:val="right"/>
        <w:rPr>
          <w:rFonts w:eastAsia="標楷體"/>
          <w:sz w:val="20"/>
        </w:rPr>
      </w:pPr>
      <w:r w:rsidRPr="004D2C0C">
        <w:rPr>
          <w:rFonts w:eastAsia="標楷體"/>
          <w:sz w:val="20"/>
        </w:rPr>
        <w:t>10</w:t>
      </w:r>
      <w:r w:rsidR="00645327" w:rsidRPr="004D2C0C">
        <w:rPr>
          <w:rFonts w:eastAsia="標楷體" w:hint="eastAsia"/>
          <w:sz w:val="20"/>
        </w:rPr>
        <w:t>8</w:t>
      </w:r>
      <w:r w:rsidRPr="004D2C0C">
        <w:rPr>
          <w:rFonts w:eastAsia="標楷體"/>
          <w:sz w:val="20"/>
        </w:rPr>
        <w:t>.</w:t>
      </w:r>
      <w:r w:rsidRPr="004D2C0C">
        <w:rPr>
          <w:rFonts w:eastAsia="標楷體" w:hint="eastAsia"/>
          <w:sz w:val="20"/>
        </w:rPr>
        <w:t>1</w:t>
      </w:r>
      <w:r w:rsidRPr="004D2C0C">
        <w:rPr>
          <w:rFonts w:eastAsia="標楷體"/>
          <w:sz w:val="20"/>
        </w:rPr>
        <w:t>.</w:t>
      </w:r>
      <w:r w:rsidR="00FD506E" w:rsidRPr="004D2C0C">
        <w:rPr>
          <w:rFonts w:eastAsia="標楷體" w:hint="eastAsia"/>
          <w:sz w:val="20"/>
        </w:rPr>
        <w:t>09</w:t>
      </w:r>
      <w:r w:rsidRPr="004D2C0C">
        <w:rPr>
          <w:rFonts w:eastAsia="標楷體"/>
          <w:sz w:val="20"/>
        </w:rPr>
        <w:t>. 10</w:t>
      </w:r>
      <w:r w:rsidRPr="004D2C0C">
        <w:rPr>
          <w:rFonts w:eastAsia="標楷體" w:hint="eastAsia"/>
          <w:sz w:val="20"/>
        </w:rPr>
        <w:t>7</w:t>
      </w:r>
      <w:r w:rsidRPr="004D2C0C">
        <w:rPr>
          <w:rFonts w:eastAsia="標楷體"/>
          <w:sz w:val="20"/>
        </w:rPr>
        <w:t>學年度第</w:t>
      </w:r>
      <w:r w:rsidR="00424B5F" w:rsidRPr="004D2C0C">
        <w:rPr>
          <w:rFonts w:eastAsia="標楷體" w:hint="eastAsia"/>
          <w:sz w:val="20"/>
        </w:rPr>
        <w:t>4</w:t>
      </w:r>
      <w:r w:rsidRPr="004D2C0C">
        <w:rPr>
          <w:rFonts w:eastAsia="標楷體"/>
          <w:sz w:val="20"/>
        </w:rPr>
        <w:t>次系教評會議</w:t>
      </w:r>
      <w:r w:rsidRPr="004D2C0C">
        <w:rPr>
          <w:rFonts w:eastAsia="標楷體" w:hint="eastAsia"/>
          <w:sz w:val="20"/>
        </w:rPr>
        <w:t>修訂</w:t>
      </w:r>
    </w:p>
    <w:p w14:paraId="5D3FC14A" w14:textId="4AA1012B" w:rsidR="0093186C" w:rsidRPr="004D2C0C" w:rsidRDefault="0093186C" w:rsidP="00353A41">
      <w:pPr>
        <w:snapToGrid w:val="0"/>
        <w:spacing w:line="240" w:lineRule="auto"/>
        <w:ind w:rightChars="-6" w:right="-14"/>
        <w:jc w:val="right"/>
        <w:rPr>
          <w:rFonts w:eastAsia="標楷體"/>
          <w:sz w:val="20"/>
        </w:rPr>
      </w:pPr>
      <w:r w:rsidRPr="004D2C0C">
        <w:rPr>
          <w:rFonts w:eastAsia="標楷體"/>
          <w:sz w:val="20"/>
        </w:rPr>
        <w:t>10</w:t>
      </w:r>
      <w:r w:rsidRPr="004D2C0C">
        <w:rPr>
          <w:rFonts w:eastAsia="標楷體" w:hint="eastAsia"/>
          <w:sz w:val="20"/>
        </w:rPr>
        <w:t>8</w:t>
      </w:r>
      <w:r w:rsidRPr="004D2C0C">
        <w:rPr>
          <w:rFonts w:eastAsia="標楷體"/>
          <w:sz w:val="20"/>
        </w:rPr>
        <w:t>.</w:t>
      </w:r>
      <w:r w:rsidRPr="004D2C0C">
        <w:rPr>
          <w:rFonts w:eastAsia="標楷體" w:hint="eastAsia"/>
          <w:sz w:val="20"/>
        </w:rPr>
        <w:t>3</w:t>
      </w:r>
      <w:r w:rsidRPr="004D2C0C">
        <w:rPr>
          <w:rFonts w:eastAsia="標楷體"/>
          <w:sz w:val="20"/>
        </w:rPr>
        <w:t>.</w:t>
      </w:r>
      <w:r w:rsidRPr="004D2C0C">
        <w:rPr>
          <w:rFonts w:eastAsia="標楷體" w:hint="eastAsia"/>
          <w:sz w:val="20"/>
        </w:rPr>
        <w:t>07</w:t>
      </w:r>
      <w:r w:rsidRPr="004D2C0C">
        <w:rPr>
          <w:rFonts w:eastAsia="標楷體"/>
          <w:sz w:val="20"/>
        </w:rPr>
        <w:t>. 10</w:t>
      </w:r>
      <w:r w:rsidRPr="004D2C0C">
        <w:rPr>
          <w:rFonts w:eastAsia="標楷體" w:hint="eastAsia"/>
          <w:sz w:val="20"/>
        </w:rPr>
        <w:t>7</w:t>
      </w:r>
      <w:r w:rsidRPr="004D2C0C">
        <w:rPr>
          <w:rFonts w:eastAsia="標楷體"/>
          <w:sz w:val="20"/>
        </w:rPr>
        <w:t>學年度第</w:t>
      </w:r>
      <w:r w:rsidRPr="004D2C0C">
        <w:rPr>
          <w:rFonts w:eastAsia="標楷體" w:hint="eastAsia"/>
          <w:sz w:val="20"/>
        </w:rPr>
        <w:t>4</w:t>
      </w:r>
      <w:r w:rsidRPr="004D2C0C">
        <w:rPr>
          <w:rFonts w:eastAsia="標楷體"/>
          <w:sz w:val="20"/>
        </w:rPr>
        <w:t>次</w:t>
      </w:r>
      <w:r w:rsidRPr="004D2C0C">
        <w:rPr>
          <w:rFonts w:eastAsia="標楷體" w:hint="eastAsia"/>
          <w:sz w:val="20"/>
        </w:rPr>
        <w:t>校</w:t>
      </w:r>
      <w:r w:rsidRPr="004D2C0C">
        <w:rPr>
          <w:rFonts w:eastAsia="標楷體"/>
          <w:sz w:val="20"/>
        </w:rPr>
        <w:t>教評會議</w:t>
      </w:r>
      <w:r w:rsidRPr="004D2C0C">
        <w:rPr>
          <w:rFonts w:eastAsia="標楷體" w:hint="eastAsia"/>
          <w:sz w:val="20"/>
        </w:rPr>
        <w:t>核備通過</w:t>
      </w:r>
    </w:p>
    <w:p w14:paraId="0297B1FC" w14:textId="3BA37BC4" w:rsidR="00C63BC1" w:rsidRPr="008D1BCF" w:rsidRDefault="00C63BC1" w:rsidP="00C63BC1">
      <w:pPr>
        <w:snapToGrid w:val="0"/>
        <w:spacing w:line="240" w:lineRule="auto"/>
        <w:ind w:rightChars="-6" w:right="-14"/>
        <w:jc w:val="right"/>
        <w:rPr>
          <w:rFonts w:eastAsia="標楷體"/>
          <w:sz w:val="20"/>
        </w:rPr>
      </w:pPr>
      <w:r w:rsidRPr="008D1BCF">
        <w:rPr>
          <w:rFonts w:eastAsia="標楷體"/>
          <w:sz w:val="20"/>
        </w:rPr>
        <w:t>1</w:t>
      </w:r>
      <w:r w:rsidRPr="008D1BCF">
        <w:rPr>
          <w:rFonts w:eastAsia="標楷體" w:hint="eastAsia"/>
          <w:sz w:val="20"/>
        </w:rPr>
        <w:t>12</w:t>
      </w:r>
      <w:r w:rsidRPr="008D1BCF">
        <w:rPr>
          <w:rFonts w:eastAsia="標楷體"/>
          <w:sz w:val="20"/>
        </w:rPr>
        <w:t>.</w:t>
      </w:r>
      <w:r w:rsidRPr="008D1BCF">
        <w:rPr>
          <w:rFonts w:eastAsia="標楷體" w:hint="eastAsia"/>
          <w:sz w:val="20"/>
        </w:rPr>
        <w:t>11</w:t>
      </w:r>
      <w:r w:rsidRPr="008D1BCF">
        <w:rPr>
          <w:rFonts w:eastAsia="標楷體"/>
          <w:sz w:val="20"/>
        </w:rPr>
        <w:t>.</w:t>
      </w:r>
      <w:r w:rsidRPr="008D1BCF">
        <w:rPr>
          <w:rFonts w:eastAsia="標楷體" w:hint="eastAsia"/>
          <w:sz w:val="20"/>
        </w:rPr>
        <w:t>01</w:t>
      </w:r>
      <w:r w:rsidRPr="008D1BCF">
        <w:rPr>
          <w:rFonts w:eastAsia="標楷體"/>
          <w:sz w:val="20"/>
        </w:rPr>
        <w:t>. 1</w:t>
      </w:r>
      <w:r w:rsidRPr="008D1BCF">
        <w:rPr>
          <w:rFonts w:eastAsia="標楷體" w:hint="eastAsia"/>
          <w:sz w:val="20"/>
        </w:rPr>
        <w:t>12</w:t>
      </w:r>
      <w:r w:rsidRPr="008D1BCF">
        <w:rPr>
          <w:rFonts w:eastAsia="標楷體"/>
          <w:sz w:val="20"/>
        </w:rPr>
        <w:t>學年度第</w:t>
      </w:r>
      <w:r w:rsidRPr="008D1BCF">
        <w:rPr>
          <w:rFonts w:eastAsia="標楷體" w:hint="eastAsia"/>
          <w:sz w:val="20"/>
        </w:rPr>
        <w:t>2</w:t>
      </w:r>
      <w:r w:rsidRPr="008D1BCF">
        <w:rPr>
          <w:rFonts w:eastAsia="標楷體"/>
          <w:sz w:val="20"/>
        </w:rPr>
        <w:t>次系教評會議</w:t>
      </w:r>
      <w:r w:rsidRPr="008D1BCF">
        <w:rPr>
          <w:rFonts w:eastAsia="標楷體" w:hint="eastAsia"/>
          <w:sz w:val="20"/>
        </w:rPr>
        <w:t>修訂</w:t>
      </w:r>
    </w:p>
    <w:p w14:paraId="0A8379A0" w14:textId="119E7B65" w:rsidR="008D1BCF" w:rsidRPr="004D2C0C" w:rsidRDefault="008D1BCF" w:rsidP="008D1BCF">
      <w:pPr>
        <w:snapToGrid w:val="0"/>
        <w:spacing w:line="240" w:lineRule="auto"/>
        <w:ind w:rightChars="-6" w:right="-14"/>
        <w:jc w:val="right"/>
        <w:rPr>
          <w:rFonts w:eastAsia="標楷體"/>
          <w:sz w:val="20"/>
        </w:rPr>
      </w:pPr>
      <w:r w:rsidRPr="004D2C0C">
        <w:rPr>
          <w:rFonts w:eastAsia="標楷體"/>
          <w:sz w:val="20"/>
        </w:rPr>
        <w:t>1</w:t>
      </w:r>
      <w:r>
        <w:rPr>
          <w:rFonts w:eastAsia="標楷體" w:hint="eastAsia"/>
          <w:sz w:val="20"/>
        </w:rPr>
        <w:t>12</w:t>
      </w:r>
      <w:r w:rsidRPr="004D2C0C">
        <w:rPr>
          <w:rFonts w:eastAsia="標楷體"/>
          <w:sz w:val="20"/>
        </w:rPr>
        <w:t>.</w:t>
      </w:r>
      <w:r>
        <w:rPr>
          <w:rFonts w:eastAsia="標楷體" w:hint="eastAsia"/>
          <w:sz w:val="20"/>
        </w:rPr>
        <w:t>12</w:t>
      </w:r>
      <w:r w:rsidRPr="004D2C0C">
        <w:rPr>
          <w:rFonts w:eastAsia="標楷體"/>
          <w:sz w:val="20"/>
        </w:rPr>
        <w:t>.</w:t>
      </w:r>
      <w:r w:rsidRPr="004D2C0C">
        <w:rPr>
          <w:rFonts w:eastAsia="標楷體" w:hint="eastAsia"/>
          <w:sz w:val="20"/>
        </w:rPr>
        <w:t>07</w:t>
      </w:r>
      <w:r w:rsidRPr="004D2C0C">
        <w:rPr>
          <w:rFonts w:eastAsia="標楷體"/>
          <w:sz w:val="20"/>
        </w:rPr>
        <w:t>. 1</w:t>
      </w:r>
      <w:r>
        <w:rPr>
          <w:rFonts w:eastAsia="標楷體" w:hint="eastAsia"/>
          <w:sz w:val="20"/>
        </w:rPr>
        <w:t>12</w:t>
      </w:r>
      <w:r w:rsidRPr="004D2C0C">
        <w:rPr>
          <w:rFonts w:eastAsia="標楷體"/>
          <w:sz w:val="20"/>
        </w:rPr>
        <w:t>學年度第</w:t>
      </w:r>
      <w:r w:rsidRPr="004D2C0C">
        <w:rPr>
          <w:rFonts w:eastAsia="標楷體" w:hint="eastAsia"/>
          <w:sz w:val="20"/>
        </w:rPr>
        <w:t>4</w:t>
      </w:r>
      <w:r w:rsidRPr="004D2C0C">
        <w:rPr>
          <w:rFonts w:eastAsia="標楷體"/>
          <w:sz w:val="20"/>
        </w:rPr>
        <w:t>次</w:t>
      </w:r>
      <w:r w:rsidRPr="004D2C0C">
        <w:rPr>
          <w:rFonts w:eastAsia="標楷體" w:hint="eastAsia"/>
          <w:sz w:val="20"/>
        </w:rPr>
        <w:t>校</w:t>
      </w:r>
      <w:r w:rsidRPr="004D2C0C">
        <w:rPr>
          <w:rFonts w:eastAsia="標楷體"/>
          <w:sz w:val="20"/>
        </w:rPr>
        <w:t>教評會議</w:t>
      </w:r>
      <w:r w:rsidRPr="004D2C0C">
        <w:rPr>
          <w:rFonts w:eastAsia="標楷體" w:hint="eastAsia"/>
          <w:sz w:val="20"/>
        </w:rPr>
        <w:t>核備通過</w:t>
      </w:r>
    </w:p>
    <w:p w14:paraId="1DB6A2FE" w14:textId="77777777" w:rsidR="00C63BC1" w:rsidRPr="008D1BCF" w:rsidRDefault="00C63BC1" w:rsidP="00353A41">
      <w:pPr>
        <w:snapToGrid w:val="0"/>
        <w:spacing w:line="240" w:lineRule="auto"/>
        <w:ind w:rightChars="-6" w:right="-14"/>
        <w:jc w:val="right"/>
        <w:rPr>
          <w:rFonts w:eastAsia="標楷體"/>
          <w:sz w:val="20"/>
        </w:rPr>
      </w:pPr>
    </w:p>
    <w:p w14:paraId="71E719EF" w14:textId="77777777" w:rsidR="00F556B5" w:rsidRPr="004D2C0C" w:rsidRDefault="00F556B5" w:rsidP="00B80459">
      <w:pPr>
        <w:spacing w:line="240" w:lineRule="auto"/>
        <w:ind w:left="524" w:hangingChars="187" w:hanging="524"/>
        <w:rPr>
          <w:rFonts w:eastAsia="標楷體"/>
          <w:sz w:val="28"/>
          <w:szCs w:val="28"/>
        </w:rPr>
      </w:pPr>
      <w:r w:rsidRPr="004D2C0C">
        <w:rPr>
          <w:rFonts w:eastAsia="標楷體" w:hint="eastAsia"/>
          <w:sz w:val="28"/>
          <w:szCs w:val="28"/>
        </w:rPr>
        <w:t>第一條</w:t>
      </w:r>
      <w:r w:rsidR="00196FFE" w:rsidRPr="004D2C0C">
        <w:rPr>
          <w:rFonts w:eastAsia="標楷體"/>
          <w:sz w:val="28"/>
          <w:szCs w:val="28"/>
        </w:rPr>
        <w:t>、</w:t>
      </w:r>
      <w:r w:rsidR="005655A2" w:rsidRPr="004D2C0C">
        <w:rPr>
          <w:rFonts w:eastAsia="標楷體"/>
          <w:sz w:val="28"/>
          <w:szCs w:val="28"/>
        </w:rPr>
        <w:t>輔仁大學民生學院食品科學系教師升等辦法</w:t>
      </w:r>
      <w:r w:rsidR="005655A2" w:rsidRPr="004D2C0C">
        <w:rPr>
          <w:rFonts w:eastAsia="標楷體"/>
          <w:sz w:val="28"/>
          <w:szCs w:val="28"/>
        </w:rPr>
        <w:t>(</w:t>
      </w:r>
      <w:r w:rsidR="005655A2" w:rsidRPr="004D2C0C">
        <w:rPr>
          <w:rFonts w:eastAsia="標楷體"/>
          <w:sz w:val="28"/>
          <w:szCs w:val="28"/>
        </w:rPr>
        <w:t>以下</w:t>
      </w:r>
      <w:r w:rsidR="0038180B" w:rsidRPr="004D2C0C">
        <w:rPr>
          <w:rFonts w:eastAsia="標楷體"/>
          <w:sz w:val="28"/>
          <w:szCs w:val="28"/>
        </w:rPr>
        <w:t>簡</w:t>
      </w:r>
      <w:r w:rsidR="005655A2" w:rsidRPr="004D2C0C">
        <w:rPr>
          <w:rFonts w:eastAsia="標楷體"/>
          <w:sz w:val="28"/>
          <w:szCs w:val="28"/>
        </w:rPr>
        <w:t>稱本辦</w:t>
      </w:r>
    </w:p>
    <w:p w14:paraId="49DACECC" w14:textId="77777777" w:rsidR="00F556B5" w:rsidRPr="004D2C0C" w:rsidRDefault="00F556B5" w:rsidP="00F556B5">
      <w:pPr>
        <w:spacing w:line="240" w:lineRule="auto"/>
        <w:rPr>
          <w:rFonts w:eastAsia="標楷體"/>
          <w:sz w:val="28"/>
          <w:szCs w:val="28"/>
        </w:rPr>
      </w:pPr>
      <w:r w:rsidRPr="004D2C0C">
        <w:rPr>
          <w:rFonts w:eastAsia="標楷體" w:hint="eastAsia"/>
          <w:sz w:val="28"/>
          <w:szCs w:val="28"/>
        </w:rPr>
        <w:t xml:space="preserve">        </w:t>
      </w:r>
      <w:r w:rsidR="005655A2" w:rsidRPr="004D2C0C">
        <w:rPr>
          <w:rFonts w:eastAsia="標楷體"/>
          <w:sz w:val="28"/>
          <w:szCs w:val="28"/>
        </w:rPr>
        <w:t>法</w:t>
      </w:r>
      <w:r w:rsidR="005655A2" w:rsidRPr="004D2C0C">
        <w:rPr>
          <w:rFonts w:eastAsia="標楷體"/>
          <w:sz w:val="28"/>
          <w:szCs w:val="28"/>
        </w:rPr>
        <w:t>)</w:t>
      </w:r>
      <w:r w:rsidR="005655A2" w:rsidRPr="004D2C0C">
        <w:rPr>
          <w:rFonts w:eastAsia="標楷體"/>
          <w:sz w:val="28"/>
          <w:szCs w:val="28"/>
        </w:rPr>
        <w:t>依</w:t>
      </w:r>
      <w:r w:rsidR="00196FFE" w:rsidRPr="004D2C0C">
        <w:rPr>
          <w:rFonts w:eastAsia="標楷體"/>
          <w:sz w:val="28"/>
          <w:szCs w:val="28"/>
        </w:rPr>
        <w:t>本校</w:t>
      </w:r>
      <w:r w:rsidR="0082210F" w:rsidRPr="004D2C0C">
        <w:rPr>
          <w:rFonts w:eastAsia="標楷體"/>
          <w:sz w:val="28"/>
          <w:szCs w:val="28"/>
        </w:rPr>
        <w:t>「輔仁大學教師升等辦法」</w:t>
      </w:r>
      <w:r w:rsidR="00341669" w:rsidRPr="004D2C0C">
        <w:rPr>
          <w:rFonts w:eastAsia="標楷體"/>
          <w:sz w:val="28"/>
          <w:szCs w:val="28"/>
        </w:rPr>
        <w:t>及</w:t>
      </w:r>
      <w:r w:rsidR="0082210F" w:rsidRPr="004D2C0C">
        <w:rPr>
          <w:rFonts w:eastAsia="標楷體"/>
          <w:sz w:val="28"/>
          <w:szCs w:val="28"/>
        </w:rPr>
        <w:t>本院「輔仁大學民生</w:t>
      </w:r>
    </w:p>
    <w:p w14:paraId="6A3C5461" w14:textId="77777777" w:rsidR="00196FFE" w:rsidRPr="004D2C0C" w:rsidRDefault="00F556B5" w:rsidP="00F556B5">
      <w:pPr>
        <w:spacing w:line="240" w:lineRule="auto"/>
        <w:rPr>
          <w:rFonts w:eastAsia="標楷體"/>
          <w:sz w:val="28"/>
          <w:szCs w:val="28"/>
        </w:rPr>
      </w:pPr>
      <w:r w:rsidRPr="004D2C0C">
        <w:rPr>
          <w:rFonts w:eastAsia="標楷體" w:hint="eastAsia"/>
          <w:sz w:val="28"/>
          <w:szCs w:val="28"/>
        </w:rPr>
        <w:t xml:space="preserve">        </w:t>
      </w:r>
      <w:r w:rsidR="0082210F" w:rsidRPr="004D2C0C">
        <w:rPr>
          <w:rFonts w:eastAsia="標楷體"/>
          <w:sz w:val="28"/>
          <w:szCs w:val="28"/>
        </w:rPr>
        <w:t>學院教師升等辦法」</w:t>
      </w:r>
      <w:r w:rsidR="00196FFE" w:rsidRPr="004D2C0C">
        <w:rPr>
          <w:rFonts w:eastAsia="標楷體"/>
          <w:sz w:val="28"/>
          <w:szCs w:val="28"/>
        </w:rPr>
        <w:t>制定。</w:t>
      </w:r>
    </w:p>
    <w:p w14:paraId="277DF923" w14:textId="77777777" w:rsidR="00F556B5" w:rsidRPr="004D2C0C" w:rsidRDefault="00F556B5" w:rsidP="00B80459">
      <w:pPr>
        <w:spacing w:line="240" w:lineRule="auto"/>
        <w:ind w:left="524" w:hangingChars="187" w:hanging="524"/>
        <w:rPr>
          <w:rFonts w:eastAsia="標楷體"/>
          <w:sz w:val="28"/>
          <w:szCs w:val="28"/>
        </w:rPr>
      </w:pPr>
      <w:r w:rsidRPr="004D2C0C">
        <w:rPr>
          <w:rFonts w:eastAsia="標楷體" w:hint="eastAsia"/>
          <w:sz w:val="28"/>
          <w:szCs w:val="28"/>
        </w:rPr>
        <w:t>第</w:t>
      </w:r>
      <w:r w:rsidR="00196FFE" w:rsidRPr="004D2C0C">
        <w:rPr>
          <w:rFonts w:eastAsia="標楷體"/>
          <w:sz w:val="28"/>
          <w:szCs w:val="28"/>
        </w:rPr>
        <w:t>二</w:t>
      </w:r>
      <w:r w:rsidRPr="004D2C0C">
        <w:rPr>
          <w:rFonts w:eastAsia="標楷體" w:hint="eastAsia"/>
          <w:sz w:val="28"/>
          <w:szCs w:val="28"/>
        </w:rPr>
        <w:t>條</w:t>
      </w:r>
      <w:r w:rsidR="00196FFE" w:rsidRPr="004D2C0C">
        <w:rPr>
          <w:rFonts w:eastAsia="標楷體"/>
          <w:sz w:val="28"/>
          <w:szCs w:val="28"/>
        </w:rPr>
        <w:t>、申請升等之教師應於院</w:t>
      </w:r>
      <w:r w:rsidR="007F176D" w:rsidRPr="004D2C0C">
        <w:rPr>
          <w:rFonts w:eastAsia="標楷體"/>
          <w:sz w:val="28"/>
          <w:szCs w:val="28"/>
        </w:rPr>
        <w:t>教</w:t>
      </w:r>
      <w:r w:rsidR="00196FFE" w:rsidRPr="004D2C0C">
        <w:rPr>
          <w:rFonts w:eastAsia="標楷體"/>
          <w:sz w:val="28"/>
          <w:szCs w:val="28"/>
        </w:rPr>
        <w:t>評會議前一個</w:t>
      </w:r>
      <w:r w:rsidR="00B91A23" w:rsidRPr="004D2C0C">
        <w:rPr>
          <w:rFonts w:eastAsia="標楷體"/>
          <w:sz w:val="28"/>
          <w:szCs w:val="28"/>
        </w:rPr>
        <w:t>半</w:t>
      </w:r>
      <w:r w:rsidR="00196FFE" w:rsidRPr="004D2C0C">
        <w:rPr>
          <w:rFonts w:eastAsia="標楷體"/>
          <w:sz w:val="28"/>
          <w:szCs w:val="28"/>
        </w:rPr>
        <w:t>月</w:t>
      </w:r>
      <w:r w:rsidR="007D257D" w:rsidRPr="004D2C0C">
        <w:rPr>
          <w:rFonts w:eastAsia="標楷體"/>
          <w:sz w:val="28"/>
          <w:szCs w:val="28"/>
        </w:rPr>
        <w:t>告知</w:t>
      </w:r>
      <w:r w:rsidR="00196FFE" w:rsidRPr="004D2C0C">
        <w:rPr>
          <w:rFonts w:eastAsia="標楷體"/>
          <w:sz w:val="28"/>
          <w:szCs w:val="28"/>
        </w:rPr>
        <w:t>系主任</w:t>
      </w:r>
      <w:r w:rsidR="007D257D" w:rsidRPr="004D2C0C">
        <w:rPr>
          <w:rFonts w:eastAsia="標楷體"/>
          <w:sz w:val="28"/>
          <w:szCs w:val="28"/>
        </w:rPr>
        <w:t>及院</w:t>
      </w:r>
    </w:p>
    <w:p w14:paraId="26CB7CC6" w14:textId="77777777" w:rsidR="00F556B5" w:rsidRPr="004D2C0C" w:rsidRDefault="00F556B5" w:rsidP="00B80459">
      <w:pPr>
        <w:spacing w:line="240" w:lineRule="auto"/>
        <w:ind w:left="524" w:hangingChars="187" w:hanging="524"/>
        <w:rPr>
          <w:rFonts w:eastAsia="標楷體"/>
          <w:sz w:val="28"/>
          <w:szCs w:val="28"/>
        </w:rPr>
      </w:pPr>
      <w:r w:rsidRPr="004D2C0C">
        <w:rPr>
          <w:rFonts w:eastAsia="標楷體" w:hint="eastAsia"/>
          <w:sz w:val="28"/>
          <w:szCs w:val="28"/>
        </w:rPr>
        <w:t xml:space="preserve">        </w:t>
      </w:r>
      <w:r w:rsidR="007D257D" w:rsidRPr="004D2C0C">
        <w:rPr>
          <w:rFonts w:eastAsia="標楷體"/>
          <w:sz w:val="28"/>
          <w:szCs w:val="28"/>
        </w:rPr>
        <w:t>長</w:t>
      </w:r>
      <w:r w:rsidR="00196FFE" w:rsidRPr="004D2C0C">
        <w:rPr>
          <w:rFonts w:eastAsia="標楷體"/>
          <w:sz w:val="28"/>
          <w:szCs w:val="28"/>
        </w:rPr>
        <w:t>，</w:t>
      </w:r>
      <w:r w:rsidR="00B91A23" w:rsidRPr="004D2C0C">
        <w:rPr>
          <w:rFonts w:eastAsia="標楷體"/>
          <w:sz w:val="28"/>
          <w:szCs w:val="28"/>
        </w:rPr>
        <w:t>並於院</w:t>
      </w:r>
      <w:r w:rsidR="007F176D" w:rsidRPr="004D2C0C">
        <w:rPr>
          <w:rFonts w:eastAsia="標楷體"/>
          <w:sz w:val="28"/>
          <w:szCs w:val="28"/>
        </w:rPr>
        <w:t>教</w:t>
      </w:r>
      <w:r w:rsidR="00B91A23" w:rsidRPr="004D2C0C">
        <w:rPr>
          <w:rFonts w:eastAsia="標楷體"/>
          <w:sz w:val="28"/>
          <w:szCs w:val="28"/>
        </w:rPr>
        <w:t>評會一個月前</w:t>
      </w:r>
      <w:r w:rsidR="00196FFE" w:rsidRPr="004D2C0C">
        <w:rPr>
          <w:rFonts w:eastAsia="標楷體"/>
          <w:sz w:val="28"/>
          <w:szCs w:val="28"/>
        </w:rPr>
        <w:t>向系提出校教評會所規定之</w:t>
      </w:r>
      <w:r w:rsidR="0029684A" w:rsidRPr="004D2C0C">
        <w:rPr>
          <w:rFonts w:eastAsia="標楷體"/>
          <w:sz w:val="28"/>
          <w:szCs w:val="28"/>
        </w:rPr>
        <w:t>應繳</w:t>
      </w:r>
    </w:p>
    <w:p w14:paraId="677E6F3A" w14:textId="77777777" w:rsidR="00F556B5" w:rsidRPr="004D2C0C" w:rsidRDefault="00F556B5" w:rsidP="00B80459">
      <w:pPr>
        <w:spacing w:line="240" w:lineRule="auto"/>
        <w:ind w:left="524" w:hangingChars="187" w:hanging="524"/>
        <w:rPr>
          <w:rFonts w:eastAsia="標楷體"/>
          <w:sz w:val="28"/>
          <w:szCs w:val="28"/>
        </w:rPr>
      </w:pPr>
      <w:r w:rsidRPr="004D2C0C">
        <w:rPr>
          <w:rFonts w:eastAsia="標楷體" w:hint="eastAsia"/>
          <w:sz w:val="28"/>
          <w:szCs w:val="28"/>
        </w:rPr>
        <w:t xml:space="preserve">        </w:t>
      </w:r>
      <w:r w:rsidR="00196FFE" w:rsidRPr="004D2C0C">
        <w:rPr>
          <w:rFonts w:eastAsia="標楷體"/>
          <w:sz w:val="28"/>
          <w:szCs w:val="28"/>
        </w:rPr>
        <w:t>資料</w:t>
      </w:r>
      <w:r w:rsidR="0057551A" w:rsidRPr="004D2C0C">
        <w:rPr>
          <w:rFonts w:eastAsia="標楷體"/>
          <w:sz w:val="28"/>
          <w:szCs w:val="28"/>
        </w:rPr>
        <w:t>(</w:t>
      </w:r>
      <w:r w:rsidR="0057551A" w:rsidRPr="004D2C0C">
        <w:rPr>
          <w:rFonts w:eastAsia="標楷體"/>
          <w:sz w:val="28"/>
          <w:szCs w:val="28"/>
        </w:rPr>
        <w:t>含電子檔</w:t>
      </w:r>
      <w:r w:rsidR="0057551A" w:rsidRPr="004D2C0C">
        <w:rPr>
          <w:rFonts w:eastAsia="標楷體"/>
          <w:sz w:val="28"/>
          <w:szCs w:val="28"/>
        </w:rPr>
        <w:t>)</w:t>
      </w:r>
      <w:r w:rsidR="0029684A" w:rsidRPr="004D2C0C">
        <w:rPr>
          <w:rFonts w:eastAsia="標楷體"/>
          <w:sz w:val="28"/>
          <w:szCs w:val="28"/>
        </w:rPr>
        <w:t>，逾時不予受理。</w:t>
      </w:r>
      <w:r w:rsidR="0088179F" w:rsidRPr="004D2C0C">
        <w:rPr>
          <w:rFonts w:eastAsia="標楷體" w:hint="eastAsia"/>
          <w:sz w:val="28"/>
          <w:szCs w:val="28"/>
        </w:rPr>
        <w:t>申請資格、</w:t>
      </w:r>
      <w:r w:rsidR="0029684A" w:rsidRPr="004D2C0C">
        <w:rPr>
          <w:rFonts w:eastAsia="標楷體"/>
          <w:sz w:val="28"/>
          <w:szCs w:val="28"/>
        </w:rPr>
        <w:t>應繳資料</w:t>
      </w:r>
      <w:r w:rsidR="00E53FB1" w:rsidRPr="004D2C0C">
        <w:rPr>
          <w:rFonts w:eastAsia="標楷體" w:hint="eastAsia"/>
          <w:sz w:val="28"/>
          <w:szCs w:val="28"/>
        </w:rPr>
        <w:t>項目</w:t>
      </w:r>
    </w:p>
    <w:p w14:paraId="787DDFDB" w14:textId="77777777" w:rsidR="00A4509C" w:rsidRPr="004D2C0C" w:rsidRDefault="00F556B5" w:rsidP="00B80459">
      <w:pPr>
        <w:spacing w:line="240" w:lineRule="auto"/>
        <w:ind w:left="524" w:hangingChars="187" w:hanging="524"/>
        <w:rPr>
          <w:rFonts w:eastAsia="標楷體"/>
          <w:sz w:val="28"/>
          <w:szCs w:val="28"/>
        </w:rPr>
      </w:pPr>
      <w:r w:rsidRPr="004D2C0C">
        <w:rPr>
          <w:rFonts w:eastAsia="標楷體" w:hint="eastAsia"/>
          <w:sz w:val="28"/>
          <w:szCs w:val="28"/>
        </w:rPr>
        <w:t xml:space="preserve">        </w:t>
      </w:r>
      <w:r w:rsidR="00E53FB1" w:rsidRPr="004D2C0C">
        <w:rPr>
          <w:rFonts w:eastAsia="標楷體" w:hint="eastAsia"/>
          <w:sz w:val="28"/>
          <w:szCs w:val="28"/>
        </w:rPr>
        <w:t>及件</w:t>
      </w:r>
      <w:proofErr w:type="gramStart"/>
      <w:r w:rsidR="00E53FB1" w:rsidRPr="004D2C0C">
        <w:rPr>
          <w:rFonts w:eastAsia="標楷體" w:hint="eastAsia"/>
          <w:sz w:val="28"/>
          <w:szCs w:val="28"/>
        </w:rPr>
        <w:t>數</w:t>
      </w:r>
      <w:r w:rsidR="0088179F" w:rsidRPr="004D2C0C">
        <w:rPr>
          <w:rFonts w:eastAsia="標楷體" w:hint="eastAsia"/>
          <w:sz w:val="28"/>
          <w:szCs w:val="28"/>
        </w:rPr>
        <w:t>均</w:t>
      </w:r>
      <w:r w:rsidR="0029684A" w:rsidRPr="004D2C0C">
        <w:rPr>
          <w:rFonts w:eastAsia="標楷體"/>
          <w:sz w:val="28"/>
          <w:szCs w:val="28"/>
        </w:rPr>
        <w:t>依</w:t>
      </w:r>
      <w:r w:rsidR="0057551A" w:rsidRPr="004D2C0C">
        <w:rPr>
          <w:rFonts w:eastAsia="標楷體"/>
          <w:sz w:val="28"/>
          <w:szCs w:val="28"/>
        </w:rPr>
        <w:t>輔仁大學</w:t>
      </w:r>
      <w:proofErr w:type="gramEnd"/>
      <w:r w:rsidR="0057551A" w:rsidRPr="004D2C0C">
        <w:rPr>
          <w:rFonts w:eastAsia="標楷體"/>
          <w:sz w:val="28"/>
          <w:szCs w:val="28"/>
        </w:rPr>
        <w:t>教師升等辦法</w:t>
      </w:r>
      <w:r w:rsidR="0029684A" w:rsidRPr="004D2C0C">
        <w:rPr>
          <w:rFonts w:eastAsia="標楷體"/>
          <w:sz w:val="28"/>
          <w:szCs w:val="28"/>
        </w:rPr>
        <w:t>規定辦理</w:t>
      </w:r>
      <w:r w:rsidR="00321652" w:rsidRPr="004D2C0C">
        <w:rPr>
          <w:rFonts w:eastAsia="標楷體"/>
          <w:sz w:val="28"/>
          <w:szCs w:val="28"/>
        </w:rPr>
        <w:t>。</w:t>
      </w:r>
    </w:p>
    <w:p w14:paraId="1001C1F5" w14:textId="77777777" w:rsidR="00F556B5" w:rsidRPr="004D2C0C" w:rsidRDefault="00F556B5" w:rsidP="00B80459">
      <w:pPr>
        <w:spacing w:line="240" w:lineRule="auto"/>
        <w:ind w:left="524" w:hangingChars="187" w:hanging="524"/>
        <w:rPr>
          <w:rFonts w:eastAsia="標楷體"/>
          <w:sz w:val="28"/>
          <w:szCs w:val="28"/>
        </w:rPr>
      </w:pPr>
      <w:r w:rsidRPr="004D2C0C">
        <w:rPr>
          <w:rFonts w:eastAsia="標楷體" w:hint="eastAsia"/>
          <w:sz w:val="28"/>
          <w:szCs w:val="28"/>
        </w:rPr>
        <w:t>第三條</w:t>
      </w:r>
      <w:r w:rsidR="00196FFE" w:rsidRPr="004D2C0C">
        <w:rPr>
          <w:rFonts w:eastAsia="標楷體"/>
          <w:sz w:val="28"/>
          <w:szCs w:val="28"/>
        </w:rPr>
        <w:t>、教師申請升等</w:t>
      </w:r>
      <w:r w:rsidR="00341669" w:rsidRPr="004D2C0C">
        <w:rPr>
          <w:rFonts w:eastAsia="標楷體"/>
          <w:sz w:val="28"/>
          <w:szCs w:val="28"/>
        </w:rPr>
        <w:t>依據</w:t>
      </w:r>
      <w:r w:rsidR="00196FFE" w:rsidRPr="004D2C0C">
        <w:rPr>
          <w:rFonts w:eastAsia="標楷體"/>
          <w:sz w:val="28"/>
          <w:szCs w:val="28"/>
        </w:rPr>
        <w:t>食品科學系教師升等及審查方式</w:t>
      </w:r>
      <w:proofErr w:type="gramStart"/>
      <w:r w:rsidR="00341669" w:rsidRPr="004D2C0C">
        <w:rPr>
          <w:rFonts w:eastAsia="標楷體"/>
          <w:sz w:val="28"/>
          <w:szCs w:val="28"/>
        </w:rPr>
        <w:t>（</w:t>
      </w:r>
      <w:proofErr w:type="gramEnd"/>
      <w:r w:rsidR="00196FFE" w:rsidRPr="004D2C0C">
        <w:rPr>
          <w:rFonts w:eastAsia="標楷體"/>
          <w:sz w:val="28"/>
          <w:szCs w:val="28"/>
        </w:rPr>
        <w:t>見附件</w:t>
      </w:r>
    </w:p>
    <w:p w14:paraId="2E7A8EF9" w14:textId="77777777" w:rsidR="00F556B5" w:rsidRPr="004D2C0C" w:rsidRDefault="00F556B5" w:rsidP="00B80459">
      <w:pPr>
        <w:spacing w:line="240" w:lineRule="auto"/>
        <w:ind w:left="524" w:hangingChars="187" w:hanging="524"/>
        <w:rPr>
          <w:rFonts w:eastAsia="標楷體"/>
          <w:sz w:val="28"/>
          <w:szCs w:val="28"/>
        </w:rPr>
      </w:pPr>
      <w:r w:rsidRPr="004D2C0C">
        <w:rPr>
          <w:rFonts w:eastAsia="標楷體" w:hint="eastAsia"/>
          <w:sz w:val="28"/>
          <w:szCs w:val="28"/>
        </w:rPr>
        <w:t xml:space="preserve">        </w:t>
      </w:r>
      <w:r w:rsidR="00196FFE" w:rsidRPr="004D2C0C">
        <w:rPr>
          <w:rFonts w:eastAsia="標楷體"/>
          <w:sz w:val="28"/>
          <w:szCs w:val="28"/>
        </w:rPr>
        <w:t>一</w:t>
      </w:r>
      <w:proofErr w:type="gramStart"/>
      <w:r w:rsidR="00196FFE" w:rsidRPr="004D2C0C">
        <w:rPr>
          <w:rFonts w:eastAsia="標楷體"/>
          <w:sz w:val="28"/>
          <w:szCs w:val="28"/>
        </w:rPr>
        <w:t>）</w:t>
      </w:r>
      <w:proofErr w:type="gramEnd"/>
      <w:r w:rsidR="00341669" w:rsidRPr="004D2C0C">
        <w:rPr>
          <w:rFonts w:eastAsia="標楷體"/>
          <w:sz w:val="28"/>
          <w:szCs w:val="28"/>
        </w:rPr>
        <w:t>辦理</w:t>
      </w:r>
      <w:r w:rsidR="00196FFE" w:rsidRPr="004D2C0C">
        <w:rPr>
          <w:rFonts w:eastAsia="標楷體"/>
          <w:sz w:val="28"/>
          <w:szCs w:val="28"/>
        </w:rPr>
        <w:t>，系教評會</w:t>
      </w:r>
      <w:r w:rsidR="0029684A" w:rsidRPr="004D2C0C">
        <w:rPr>
          <w:rFonts w:eastAsia="標楷體"/>
          <w:sz w:val="28"/>
          <w:szCs w:val="28"/>
        </w:rPr>
        <w:t>針對</w:t>
      </w:r>
      <w:r w:rsidR="00196FFE" w:rsidRPr="004D2C0C">
        <w:rPr>
          <w:rFonts w:eastAsia="標楷體"/>
          <w:sz w:val="28"/>
          <w:szCs w:val="28"/>
        </w:rPr>
        <w:t>申請人的資料如服務年資、任教期</w:t>
      </w:r>
    </w:p>
    <w:p w14:paraId="2ECBBE6D" w14:textId="77777777" w:rsidR="00F556B5" w:rsidRPr="004D2C0C" w:rsidRDefault="00F556B5" w:rsidP="00B80459">
      <w:pPr>
        <w:spacing w:line="240" w:lineRule="auto"/>
        <w:ind w:left="524" w:hangingChars="187" w:hanging="524"/>
        <w:rPr>
          <w:rFonts w:eastAsia="標楷體"/>
          <w:sz w:val="28"/>
          <w:szCs w:val="28"/>
        </w:rPr>
      </w:pPr>
      <w:r w:rsidRPr="004D2C0C">
        <w:rPr>
          <w:rFonts w:eastAsia="標楷體" w:hint="eastAsia"/>
          <w:sz w:val="28"/>
          <w:szCs w:val="28"/>
        </w:rPr>
        <w:t xml:space="preserve">        </w:t>
      </w:r>
      <w:r w:rsidR="00196FFE" w:rsidRPr="004D2C0C">
        <w:rPr>
          <w:rFonts w:eastAsia="標楷體"/>
          <w:sz w:val="28"/>
          <w:szCs w:val="28"/>
        </w:rPr>
        <w:t>間之研究成果、個人教學</w:t>
      </w:r>
      <w:r w:rsidR="00341669" w:rsidRPr="004D2C0C">
        <w:rPr>
          <w:rFonts w:eastAsia="標楷體"/>
          <w:sz w:val="28"/>
          <w:szCs w:val="28"/>
        </w:rPr>
        <w:t>、</w:t>
      </w:r>
      <w:r w:rsidR="00196FFE" w:rsidRPr="004D2C0C">
        <w:rPr>
          <w:rFonts w:eastAsia="標楷體"/>
          <w:sz w:val="28"/>
          <w:szCs w:val="28"/>
        </w:rPr>
        <w:t>服務</w:t>
      </w:r>
      <w:r w:rsidR="00341669" w:rsidRPr="004D2C0C">
        <w:rPr>
          <w:rFonts w:eastAsia="標楷體"/>
          <w:sz w:val="28"/>
          <w:szCs w:val="28"/>
        </w:rPr>
        <w:t>及輔導</w:t>
      </w:r>
      <w:r w:rsidR="00196FFE" w:rsidRPr="004D2C0C">
        <w:rPr>
          <w:rFonts w:eastAsia="標楷體"/>
          <w:sz w:val="28"/>
          <w:szCs w:val="28"/>
        </w:rPr>
        <w:t>成績</w:t>
      </w:r>
      <w:r w:rsidR="00A55531" w:rsidRPr="004D2C0C">
        <w:rPr>
          <w:rFonts w:eastAsia="標楷體"/>
          <w:sz w:val="28"/>
          <w:szCs w:val="28"/>
        </w:rPr>
        <w:t>等</w:t>
      </w:r>
      <w:r w:rsidR="00B3567E" w:rsidRPr="004D2C0C">
        <w:rPr>
          <w:rFonts w:eastAsia="標楷體"/>
          <w:sz w:val="28"/>
          <w:szCs w:val="28"/>
        </w:rPr>
        <w:t>資料</w:t>
      </w:r>
      <w:r w:rsidR="00196FFE" w:rsidRPr="004D2C0C">
        <w:rPr>
          <w:rFonts w:eastAsia="標楷體"/>
          <w:sz w:val="28"/>
          <w:szCs w:val="28"/>
        </w:rPr>
        <w:t>，以書面</w:t>
      </w:r>
      <w:r w:rsidRPr="004D2C0C">
        <w:rPr>
          <w:rFonts w:eastAsia="標楷體" w:hint="eastAsia"/>
          <w:sz w:val="28"/>
          <w:szCs w:val="28"/>
        </w:rPr>
        <w:t xml:space="preserve"> </w:t>
      </w:r>
    </w:p>
    <w:p w14:paraId="59551883" w14:textId="77777777" w:rsidR="00F556B5" w:rsidRPr="004D2C0C" w:rsidRDefault="00F556B5" w:rsidP="00B80459">
      <w:pPr>
        <w:spacing w:line="240" w:lineRule="auto"/>
        <w:ind w:left="524" w:hangingChars="187" w:hanging="524"/>
        <w:rPr>
          <w:rFonts w:eastAsia="標楷體"/>
          <w:sz w:val="28"/>
          <w:szCs w:val="28"/>
        </w:rPr>
      </w:pPr>
      <w:r w:rsidRPr="004D2C0C">
        <w:rPr>
          <w:rFonts w:eastAsia="標楷體" w:hint="eastAsia"/>
          <w:sz w:val="28"/>
          <w:szCs w:val="28"/>
        </w:rPr>
        <w:t xml:space="preserve">        </w:t>
      </w:r>
      <w:r w:rsidR="0029684A" w:rsidRPr="004D2C0C">
        <w:rPr>
          <w:rFonts w:eastAsia="標楷體"/>
          <w:sz w:val="28"/>
          <w:szCs w:val="28"/>
        </w:rPr>
        <w:t>及口頭</w:t>
      </w:r>
      <w:proofErr w:type="gramStart"/>
      <w:r w:rsidR="0029684A" w:rsidRPr="004D2C0C">
        <w:rPr>
          <w:rFonts w:eastAsia="標楷體"/>
          <w:sz w:val="28"/>
          <w:szCs w:val="28"/>
        </w:rPr>
        <w:t>詢</w:t>
      </w:r>
      <w:proofErr w:type="gramEnd"/>
      <w:r w:rsidR="0029684A" w:rsidRPr="004D2C0C">
        <w:rPr>
          <w:rFonts w:eastAsia="標楷體"/>
          <w:sz w:val="28"/>
          <w:szCs w:val="28"/>
        </w:rPr>
        <w:t>答等方式</w:t>
      </w:r>
      <w:r w:rsidR="00196FFE" w:rsidRPr="004D2C0C">
        <w:rPr>
          <w:rFonts w:eastAsia="標楷體"/>
          <w:sz w:val="28"/>
          <w:szCs w:val="28"/>
        </w:rPr>
        <w:t>綜合考評</w:t>
      </w:r>
      <w:r w:rsidR="0029684A" w:rsidRPr="004D2C0C">
        <w:rPr>
          <w:rFonts w:eastAsia="標楷體"/>
          <w:sz w:val="28"/>
          <w:szCs w:val="28"/>
        </w:rPr>
        <w:t>後</w:t>
      </w:r>
      <w:r w:rsidR="00196FFE" w:rsidRPr="004D2C0C">
        <w:rPr>
          <w:rFonts w:eastAsia="標楷體"/>
          <w:sz w:val="28"/>
          <w:szCs w:val="28"/>
        </w:rPr>
        <w:t>具體評分</w:t>
      </w:r>
      <w:r w:rsidR="00B3567E" w:rsidRPr="004D2C0C">
        <w:rPr>
          <w:rFonts w:eastAsia="標楷體"/>
          <w:sz w:val="28"/>
          <w:szCs w:val="28"/>
        </w:rPr>
        <w:t>，並考量品德操守，</w:t>
      </w:r>
    </w:p>
    <w:p w14:paraId="309A4D48" w14:textId="77777777" w:rsidR="00196FFE" w:rsidRPr="004D2C0C" w:rsidRDefault="00F556B5" w:rsidP="00B80459">
      <w:pPr>
        <w:spacing w:line="240" w:lineRule="auto"/>
        <w:ind w:left="524" w:hangingChars="187" w:hanging="524"/>
        <w:rPr>
          <w:rFonts w:eastAsia="標楷體"/>
          <w:b/>
          <w:sz w:val="28"/>
          <w:szCs w:val="28"/>
        </w:rPr>
      </w:pPr>
      <w:r w:rsidRPr="004D2C0C">
        <w:rPr>
          <w:rFonts w:eastAsia="標楷體" w:hint="eastAsia"/>
          <w:sz w:val="28"/>
          <w:szCs w:val="28"/>
        </w:rPr>
        <w:t xml:space="preserve">        </w:t>
      </w:r>
      <w:r w:rsidR="00B3567E" w:rsidRPr="004D2C0C">
        <w:rPr>
          <w:rFonts w:eastAsia="標楷體"/>
          <w:sz w:val="28"/>
          <w:szCs w:val="28"/>
        </w:rPr>
        <w:t>於審查通過後，連同各項表件及著作，送院教評會審查</w:t>
      </w:r>
      <w:r w:rsidR="00196FFE" w:rsidRPr="004D2C0C">
        <w:rPr>
          <w:rFonts w:eastAsia="標楷體"/>
          <w:sz w:val="28"/>
          <w:szCs w:val="28"/>
        </w:rPr>
        <w:t>。</w:t>
      </w:r>
    </w:p>
    <w:p w14:paraId="4163C474" w14:textId="5259F67C" w:rsidR="00D84C8C" w:rsidRPr="004D2C0C" w:rsidRDefault="00F556B5" w:rsidP="00B80459">
      <w:pPr>
        <w:spacing w:line="240" w:lineRule="auto"/>
        <w:ind w:leftChars="1" w:left="598" w:hangingChars="213" w:hanging="596"/>
        <w:jc w:val="both"/>
        <w:rPr>
          <w:rFonts w:eastAsia="標楷體"/>
          <w:sz w:val="28"/>
          <w:szCs w:val="28"/>
        </w:rPr>
      </w:pPr>
      <w:r w:rsidRPr="004D2C0C">
        <w:rPr>
          <w:rFonts w:eastAsia="標楷體" w:hint="eastAsia"/>
          <w:sz w:val="28"/>
          <w:szCs w:val="28"/>
        </w:rPr>
        <w:t>第</w:t>
      </w:r>
      <w:r w:rsidR="00196FFE" w:rsidRPr="004D2C0C">
        <w:rPr>
          <w:rFonts w:eastAsia="標楷體"/>
          <w:sz w:val="28"/>
          <w:szCs w:val="28"/>
        </w:rPr>
        <w:t>四</w:t>
      </w:r>
      <w:r w:rsidRPr="004D2C0C">
        <w:rPr>
          <w:rFonts w:eastAsia="標楷體" w:hint="eastAsia"/>
          <w:sz w:val="28"/>
          <w:szCs w:val="28"/>
        </w:rPr>
        <w:t>條</w:t>
      </w:r>
      <w:r w:rsidR="00196FFE" w:rsidRPr="004D2C0C">
        <w:rPr>
          <w:rFonts w:eastAsia="標楷體"/>
          <w:sz w:val="28"/>
          <w:szCs w:val="28"/>
        </w:rPr>
        <w:t>、升等申請人之資料審查標準</w:t>
      </w:r>
      <w:r w:rsidR="00B3567E" w:rsidRPr="004D2C0C">
        <w:rPr>
          <w:rFonts w:eastAsia="標楷體"/>
          <w:sz w:val="28"/>
          <w:szCs w:val="28"/>
        </w:rPr>
        <w:t>含</w:t>
      </w:r>
      <w:r w:rsidR="004D2C0C" w:rsidRPr="004D2C0C">
        <w:rPr>
          <w:rFonts w:eastAsia="標楷體" w:hint="eastAsia"/>
          <w:sz w:val="28"/>
          <w:szCs w:val="28"/>
        </w:rPr>
        <w:t>專業學術表現</w:t>
      </w:r>
      <w:r w:rsidR="00196FFE" w:rsidRPr="004D2C0C">
        <w:rPr>
          <w:rFonts w:eastAsia="標楷體"/>
          <w:sz w:val="28"/>
          <w:szCs w:val="28"/>
        </w:rPr>
        <w:t>、教學、服務</w:t>
      </w:r>
      <w:r w:rsidR="00D85241" w:rsidRPr="004D2C0C">
        <w:rPr>
          <w:rFonts w:eastAsia="標楷體" w:hint="eastAsia"/>
          <w:sz w:val="28"/>
          <w:szCs w:val="28"/>
        </w:rPr>
        <w:t>(</w:t>
      </w:r>
      <w:r w:rsidR="00D85241" w:rsidRPr="004D2C0C">
        <w:rPr>
          <w:rFonts w:eastAsia="標楷體" w:hint="eastAsia"/>
          <w:sz w:val="28"/>
          <w:szCs w:val="28"/>
        </w:rPr>
        <w:t>含</w:t>
      </w:r>
      <w:r w:rsidR="00D84C8C" w:rsidRPr="004D2C0C">
        <w:rPr>
          <w:rFonts w:eastAsia="標楷體" w:hint="eastAsia"/>
          <w:sz w:val="28"/>
          <w:szCs w:val="28"/>
        </w:rPr>
        <w:t xml:space="preserve">  </w:t>
      </w:r>
    </w:p>
    <w:p w14:paraId="2CCF855C" w14:textId="3EF13DD5" w:rsidR="00D84C8C" w:rsidRPr="004D2C0C" w:rsidRDefault="00D84C8C" w:rsidP="00B80459">
      <w:pPr>
        <w:spacing w:line="240" w:lineRule="auto"/>
        <w:ind w:leftChars="1" w:left="598" w:hangingChars="213" w:hanging="596"/>
        <w:jc w:val="both"/>
        <w:rPr>
          <w:rFonts w:eastAsia="標楷體"/>
          <w:sz w:val="28"/>
          <w:szCs w:val="28"/>
        </w:rPr>
      </w:pPr>
      <w:r w:rsidRPr="004D2C0C">
        <w:rPr>
          <w:rFonts w:eastAsia="標楷體" w:hint="eastAsia"/>
          <w:sz w:val="28"/>
          <w:szCs w:val="28"/>
        </w:rPr>
        <w:t xml:space="preserve">        </w:t>
      </w:r>
      <w:r w:rsidR="00341669" w:rsidRPr="004D2C0C">
        <w:rPr>
          <w:rFonts w:eastAsia="標楷體"/>
          <w:sz w:val="28"/>
          <w:szCs w:val="28"/>
        </w:rPr>
        <w:t>輔導</w:t>
      </w:r>
      <w:r w:rsidR="00D85241" w:rsidRPr="004D2C0C">
        <w:rPr>
          <w:rFonts w:eastAsia="標楷體" w:hint="eastAsia"/>
          <w:sz w:val="28"/>
          <w:szCs w:val="28"/>
        </w:rPr>
        <w:t>)</w:t>
      </w:r>
      <w:r w:rsidR="00D85241" w:rsidRPr="004D2C0C">
        <w:rPr>
          <w:rFonts w:eastAsia="標楷體" w:hint="eastAsia"/>
          <w:sz w:val="28"/>
          <w:szCs w:val="28"/>
        </w:rPr>
        <w:t>三</w:t>
      </w:r>
      <w:r w:rsidR="00196FFE" w:rsidRPr="004D2C0C">
        <w:rPr>
          <w:rFonts w:eastAsia="標楷體"/>
          <w:sz w:val="28"/>
          <w:szCs w:val="28"/>
        </w:rPr>
        <w:t>項</w:t>
      </w:r>
      <w:r w:rsidR="00B3567E" w:rsidRPr="004D2C0C">
        <w:rPr>
          <w:rFonts w:eastAsia="標楷體"/>
          <w:sz w:val="28"/>
          <w:szCs w:val="28"/>
        </w:rPr>
        <w:t>，其</w:t>
      </w:r>
      <w:r w:rsidR="00196FFE" w:rsidRPr="004D2C0C">
        <w:rPr>
          <w:rFonts w:eastAsia="標楷體"/>
          <w:sz w:val="28"/>
          <w:szCs w:val="28"/>
        </w:rPr>
        <w:t>所</w:t>
      </w:r>
      <w:proofErr w:type="gramStart"/>
      <w:r w:rsidR="00196FFE" w:rsidRPr="004D2C0C">
        <w:rPr>
          <w:rFonts w:eastAsia="標楷體"/>
          <w:sz w:val="28"/>
          <w:szCs w:val="28"/>
        </w:rPr>
        <w:t>佔</w:t>
      </w:r>
      <w:proofErr w:type="gramEnd"/>
      <w:r w:rsidR="00196FFE" w:rsidRPr="004D2C0C">
        <w:rPr>
          <w:rFonts w:eastAsia="標楷體"/>
          <w:sz w:val="28"/>
          <w:szCs w:val="28"/>
        </w:rPr>
        <w:t>之比例，升等教授者分別為</w:t>
      </w:r>
      <w:r w:rsidR="004D2C0C" w:rsidRPr="004D2C0C">
        <w:rPr>
          <w:rFonts w:eastAsia="標楷體" w:hint="eastAsia"/>
          <w:sz w:val="28"/>
          <w:szCs w:val="28"/>
        </w:rPr>
        <w:t>專業學術表現</w:t>
      </w:r>
      <w:r w:rsidRPr="004D2C0C">
        <w:rPr>
          <w:rFonts w:eastAsia="標楷體" w:hint="eastAsia"/>
          <w:sz w:val="28"/>
          <w:szCs w:val="28"/>
        </w:rPr>
        <w:t xml:space="preserve">  </w:t>
      </w:r>
    </w:p>
    <w:p w14:paraId="69A28B8B" w14:textId="77777777" w:rsidR="00D84C8C" w:rsidRPr="004D2C0C" w:rsidRDefault="00D84C8C" w:rsidP="00B80459">
      <w:pPr>
        <w:spacing w:line="240" w:lineRule="auto"/>
        <w:ind w:leftChars="1" w:left="598" w:hangingChars="213" w:hanging="596"/>
        <w:jc w:val="both"/>
        <w:rPr>
          <w:rFonts w:eastAsia="標楷體"/>
          <w:sz w:val="28"/>
          <w:szCs w:val="28"/>
        </w:rPr>
      </w:pPr>
      <w:r w:rsidRPr="004D2C0C">
        <w:rPr>
          <w:rFonts w:eastAsia="標楷體" w:hint="eastAsia"/>
          <w:sz w:val="28"/>
          <w:szCs w:val="28"/>
        </w:rPr>
        <w:t xml:space="preserve">        </w:t>
      </w:r>
      <w:proofErr w:type="gramStart"/>
      <w:r w:rsidR="00196FFE" w:rsidRPr="004D2C0C">
        <w:rPr>
          <w:rFonts w:eastAsia="標楷體"/>
          <w:sz w:val="28"/>
          <w:szCs w:val="28"/>
        </w:rPr>
        <w:t>佔</w:t>
      </w:r>
      <w:proofErr w:type="gramEnd"/>
      <w:r w:rsidR="00196FFE" w:rsidRPr="004D2C0C">
        <w:rPr>
          <w:rFonts w:eastAsia="標楷體"/>
          <w:sz w:val="28"/>
          <w:szCs w:val="28"/>
        </w:rPr>
        <w:t>70%</w:t>
      </w:r>
      <w:r w:rsidR="00196FFE" w:rsidRPr="004D2C0C">
        <w:rPr>
          <w:rFonts w:eastAsia="標楷體"/>
          <w:sz w:val="28"/>
          <w:szCs w:val="28"/>
        </w:rPr>
        <w:t>，教學</w:t>
      </w:r>
      <w:proofErr w:type="gramStart"/>
      <w:r w:rsidR="0057551A" w:rsidRPr="004D2C0C">
        <w:rPr>
          <w:rFonts w:eastAsia="標楷體"/>
          <w:sz w:val="28"/>
          <w:szCs w:val="28"/>
        </w:rPr>
        <w:t>佔</w:t>
      </w:r>
      <w:proofErr w:type="gramEnd"/>
      <w:r w:rsidR="0057551A" w:rsidRPr="004D2C0C">
        <w:rPr>
          <w:rFonts w:eastAsia="標楷體"/>
          <w:sz w:val="28"/>
          <w:szCs w:val="28"/>
        </w:rPr>
        <w:t>20%</w:t>
      </w:r>
      <w:r w:rsidR="00341669" w:rsidRPr="004D2C0C">
        <w:rPr>
          <w:rFonts w:eastAsia="標楷體"/>
          <w:sz w:val="28"/>
          <w:szCs w:val="28"/>
        </w:rPr>
        <w:t>、</w:t>
      </w:r>
      <w:r w:rsidR="00196FFE" w:rsidRPr="004D2C0C">
        <w:rPr>
          <w:rFonts w:eastAsia="標楷體"/>
          <w:sz w:val="28"/>
          <w:szCs w:val="28"/>
        </w:rPr>
        <w:t>服務</w:t>
      </w:r>
      <w:r w:rsidR="00590DE8" w:rsidRPr="004D2C0C">
        <w:rPr>
          <w:rFonts w:eastAsia="標楷體"/>
          <w:sz w:val="28"/>
          <w:szCs w:val="28"/>
        </w:rPr>
        <w:t>(</w:t>
      </w:r>
      <w:r w:rsidR="00590DE8" w:rsidRPr="004D2C0C">
        <w:rPr>
          <w:rFonts w:eastAsia="標楷體"/>
          <w:sz w:val="28"/>
          <w:szCs w:val="28"/>
        </w:rPr>
        <w:t>含輔導</w:t>
      </w:r>
      <w:r w:rsidR="00590DE8" w:rsidRPr="004D2C0C">
        <w:rPr>
          <w:rFonts w:eastAsia="標楷體"/>
          <w:sz w:val="28"/>
          <w:szCs w:val="28"/>
        </w:rPr>
        <w:t>)</w:t>
      </w:r>
      <w:proofErr w:type="gramStart"/>
      <w:r w:rsidR="00196FFE" w:rsidRPr="004D2C0C">
        <w:rPr>
          <w:rFonts w:eastAsia="標楷體"/>
          <w:sz w:val="28"/>
          <w:szCs w:val="28"/>
        </w:rPr>
        <w:t>佔</w:t>
      </w:r>
      <w:proofErr w:type="gramEnd"/>
      <w:r w:rsidR="00196FFE" w:rsidRPr="004D2C0C">
        <w:rPr>
          <w:rFonts w:eastAsia="標楷體"/>
          <w:sz w:val="28"/>
          <w:szCs w:val="28"/>
        </w:rPr>
        <w:t>1</w:t>
      </w:r>
      <w:r w:rsidR="00590DE8" w:rsidRPr="004D2C0C">
        <w:rPr>
          <w:rFonts w:eastAsia="標楷體"/>
          <w:sz w:val="28"/>
          <w:szCs w:val="28"/>
        </w:rPr>
        <w:t>0</w:t>
      </w:r>
      <w:r w:rsidR="00196FFE" w:rsidRPr="004D2C0C">
        <w:rPr>
          <w:rFonts w:eastAsia="標楷體"/>
          <w:sz w:val="28"/>
          <w:szCs w:val="28"/>
        </w:rPr>
        <w:t>%</w:t>
      </w:r>
      <w:r w:rsidR="00196FFE" w:rsidRPr="004D2C0C">
        <w:rPr>
          <w:rFonts w:eastAsia="標楷體"/>
          <w:sz w:val="28"/>
          <w:szCs w:val="28"/>
        </w:rPr>
        <w:t>，升等副教授者，</w:t>
      </w:r>
    </w:p>
    <w:p w14:paraId="4F00CB75" w14:textId="28BDC3DF" w:rsidR="00D84C8C" w:rsidRPr="004D2C0C" w:rsidRDefault="00D84C8C" w:rsidP="00B80459">
      <w:pPr>
        <w:spacing w:line="240" w:lineRule="auto"/>
        <w:ind w:leftChars="1" w:left="598" w:hangingChars="213" w:hanging="596"/>
        <w:jc w:val="both"/>
        <w:rPr>
          <w:rFonts w:eastAsia="標楷體"/>
          <w:sz w:val="28"/>
          <w:szCs w:val="28"/>
        </w:rPr>
      </w:pPr>
      <w:r w:rsidRPr="004D2C0C">
        <w:rPr>
          <w:rFonts w:eastAsia="標楷體" w:hint="eastAsia"/>
          <w:sz w:val="28"/>
          <w:szCs w:val="28"/>
        </w:rPr>
        <w:t xml:space="preserve">        </w:t>
      </w:r>
      <w:r w:rsidR="00196FFE" w:rsidRPr="004D2C0C">
        <w:rPr>
          <w:rFonts w:eastAsia="標楷體"/>
          <w:sz w:val="28"/>
          <w:szCs w:val="28"/>
        </w:rPr>
        <w:t>分別為</w:t>
      </w:r>
      <w:r w:rsidR="004D2C0C" w:rsidRPr="004D2C0C">
        <w:rPr>
          <w:rFonts w:eastAsia="標楷體" w:hint="eastAsia"/>
          <w:sz w:val="28"/>
          <w:szCs w:val="28"/>
        </w:rPr>
        <w:t>專業學術表現</w:t>
      </w:r>
      <w:proofErr w:type="gramStart"/>
      <w:r w:rsidR="00196FFE" w:rsidRPr="004D2C0C">
        <w:rPr>
          <w:rFonts w:eastAsia="標楷體"/>
          <w:sz w:val="28"/>
          <w:szCs w:val="28"/>
        </w:rPr>
        <w:t>佔</w:t>
      </w:r>
      <w:proofErr w:type="gramEnd"/>
      <w:r w:rsidR="00196FFE" w:rsidRPr="004D2C0C">
        <w:rPr>
          <w:rFonts w:eastAsia="標楷體"/>
          <w:sz w:val="28"/>
          <w:szCs w:val="28"/>
        </w:rPr>
        <w:t>60%</w:t>
      </w:r>
      <w:r w:rsidR="00196FFE" w:rsidRPr="004D2C0C">
        <w:rPr>
          <w:rFonts w:eastAsia="標楷體"/>
          <w:sz w:val="28"/>
          <w:szCs w:val="28"/>
        </w:rPr>
        <w:t>，教學</w:t>
      </w:r>
      <w:proofErr w:type="gramStart"/>
      <w:r w:rsidR="00590DE8" w:rsidRPr="004D2C0C">
        <w:rPr>
          <w:rFonts w:eastAsia="標楷體"/>
          <w:sz w:val="28"/>
          <w:szCs w:val="28"/>
        </w:rPr>
        <w:t>佔</w:t>
      </w:r>
      <w:proofErr w:type="gramEnd"/>
      <w:r w:rsidR="00590DE8" w:rsidRPr="004D2C0C">
        <w:rPr>
          <w:rFonts w:eastAsia="標楷體"/>
          <w:sz w:val="28"/>
          <w:szCs w:val="28"/>
        </w:rPr>
        <w:t>20%</w:t>
      </w:r>
      <w:r w:rsidR="00B91A23" w:rsidRPr="004D2C0C">
        <w:rPr>
          <w:rFonts w:eastAsia="標楷體"/>
          <w:sz w:val="28"/>
          <w:szCs w:val="28"/>
        </w:rPr>
        <w:t>、服務</w:t>
      </w:r>
      <w:r w:rsidR="00590DE8" w:rsidRPr="004D2C0C">
        <w:rPr>
          <w:rFonts w:eastAsia="標楷體"/>
          <w:sz w:val="28"/>
          <w:szCs w:val="28"/>
        </w:rPr>
        <w:t>(</w:t>
      </w:r>
      <w:r w:rsidR="00590DE8" w:rsidRPr="004D2C0C">
        <w:rPr>
          <w:rFonts w:eastAsia="標楷體"/>
          <w:sz w:val="28"/>
          <w:szCs w:val="28"/>
        </w:rPr>
        <w:t>含輔導</w:t>
      </w:r>
      <w:r w:rsidR="00590DE8" w:rsidRPr="004D2C0C">
        <w:rPr>
          <w:rFonts w:eastAsia="標楷體"/>
          <w:sz w:val="28"/>
          <w:szCs w:val="28"/>
        </w:rPr>
        <w:t>)</w:t>
      </w:r>
      <w:proofErr w:type="gramStart"/>
      <w:r w:rsidR="00196FFE" w:rsidRPr="004D2C0C">
        <w:rPr>
          <w:rFonts w:eastAsia="標楷體"/>
          <w:sz w:val="28"/>
          <w:szCs w:val="28"/>
        </w:rPr>
        <w:t>佔</w:t>
      </w:r>
      <w:proofErr w:type="gramEnd"/>
    </w:p>
    <w:p w14:paraId="3C6BCBE2" w14:textId="292F941C" w:rsidR="00196FFE" w:rsidRPr="004D2C0C" w:rsidRDefault="00D84C8C" w:rsidP="00B80459">
      <w:pPr>
        <w:spacing w:line="240" w:lineRule="auto"/>
        <w:ind w:leftChars="1" w:left="598" w:hangingChars="213" w:hanging="596"/>
        <w:jc w:val="both"/>
        <w:rPr>
          <w:rFonts w:eastAsia="標楷體"/>
          <w:sz w:val="28"/>
          <w:szCs w:val="28"/>
        </w:rPr>
      </w:pPr>
      <w:r w:rsidRPr="004D2C0C">
        <w:rPr>
          <w:rFonts w:eastAsia="標楷體" w:hint="eastAsia"/>
          <w:sz w:val="28"/>
          <w:szCs w:val="28"/>
        </w:rPr>
        <w:t xml:space="preserve">        </w:t>
      </w:r>
      <w:r w:rsidR="00B91A23" w:rsidRPr="004D2C0C">
        <w:rPr>
          <w:rFonts w:eastAsia="標楷體"/>
          <w:sz w:val="28"/>
          <w:szCs w:val="28"/>
        </w:rPr>
        <w:t>20</w:t>
      </w:r>
      <w:r w:rsidR="00196FFE" w:rsidRPr="004D2C0C">
        <w:rPr>
          <w:rFonts w:eastAsia="標楷體"/>
          <w:sz w:val="28"/>
          <w:szCs w:val="28"/>
        </w:rPr>
        <w:t>%</w:t>
      </w:r>
      <w:r w:rsidR="00196FFE" w:rsidRPr="004D2C0C">
        <w:rPr>
          <w:rFonts w:eastAsia="標楷體"/>
          <w:sz w:val="28"/>
          <w:szCs w:val="28"/>
        </w:rPr>
        <w:t>。</w:t>
      </w:r>
    </w:p>
    <w:p w14:paraId="0E796470" w14:textId="678E5F77" w:rsidR="00196FFE" w:rsidRPr="004D2C0C" w:rsidRDefault="00F556B5" w:rsidP="00B80459">
      <w:pPr>
        <w:pStyle w:val="21"/>
        <w:spacing w:after="0" w:line="240" w:lineRule="auto"/>
        <w:ind w:leftChars="0" w:left="420" w:hangingChars="150" w:hanging="420"/>
        <w:rPr>
          <w:rFonts w:eastAsia="標楷體"/>
          <w:sz w:val="28"/>
          <w:szCs w:val="28"/>
        </w:rPr>
      </w:pPr>
      <w:r w:rsidRPr="004D2C0C">
        <w:rPr>
          <w:rFonts w:eastAsia="標楷體" w:hint="eastAsia"/>
          <w:sz w:val="28"/>
          <w:szCs w:val="28"/>
        </w:rPr>
        <w:t xml:space="preserve">  </w:t>
      </w:r>
      <w:r w:rsidR="00D85241" w:rsidRPr="004D2C0C">
        <w:rPr>
          <w:rFonts w:eastAsia="標楷體" w:hint="eastAsia"/>
          <w:sz w:val="28"/>
          <w:szCs w:val="28"/>
        </w:rPr>
        <w:t>(</w:t>
      </w:r>
      <w:proofErr w:type="gramStart"/>
      <w:r w:rsidR="00D85241" w:rsidRPr="004D2C0C">
        <w:rPr>
          <w:rFonts w:eastAsia="標楷體" w:hint="eastAsia"/>
          <w:sz w:val="28"/>
          <w:szCs w:val="28"/>
        </w:rPr>
        <w:t>一</w:t>
      </w:r>
      <w:proofErr w:type="gramEnd"/>
      <w:r w:rsidR="00D85241" w:rsidRPr="004D2C0C">
        <w:rPr>
          <w:rFonts w:eastAsia="標楷體" w:hint="eastAsia"/>
          <w:sz w:val="28"/>
          <w:szCs w:val="28"/>
        </w:rPr>
        <w:t>)</w:t>
      </w:r>
      <w:r w:rsidR="004D2C0C" w:rsidRPr="004D2C0C">
        <w:rPr>
          <w:rFonts w:eastAsia="標楷體" w:hint="eastAsia"/>
          <w:sz w:val="28"/>
          <w:szCs w:val="28"/>
        </w:rPr>
        <w:t>專業學術表現</w:t>
      </w:r>
      <w:r w:rsidR="00D104A0" w:rsidRPr="004D2C0C">
        <w:rPr>
          <w:rFonts w:eastAsia="標楷體" w:hint="eastAsia"/>
          <w:sz w:val="28"/>
          <w:szCs w:val="28"/>
        </w:rPr>
        <w:t>之要求</w:t>
      </w:r>
      <w:r w:rsidR="00196FFE" w:rsidRPr="004D2C0C">
        <w:rPr>
          <w:rFonts w:eastAsia="標楷體"/>
          <w:sz w:val="28"/>
          <w:szCs w:val="28"/>
        </w:rPr>
        <w:t>：</w:t>
      </w:r>
    </w:p>
    <w:p w14:paraId="5D7E2870" w14:textId="53FD15F4" w:rsidR="00A03523" w:rsidRPr="004D2C0C" w:rsidRDefault="00F556B5" w:rsidP="00B80459">
      <w:pPr>
        <w:pStyle w:val="21"/>
        <w:spacing w:after="0" w:line="240" w:lineRule="auto"/>
        <w:ind w:leftChars="210" w:left="680" w:hangingChars="63" w:hanging="176"/>
        <w:rPr>
          <w:rFonts w:eastAsia="標楷體"/>
          <w:sz w:val="28"/>
          <w:szCs w:val="28"/>
        </w:rPr>
      </w:pPr>
      <w:r w:rsidRPr="004D2C0C">
        <w:rPr>
          <w:rFonts w:eastAsia="標楷體" w:hint="eastAsia"/>
          <w:sz w:val="28"/>
          <w:szCs w:val="28"/>
        </w:rPr>
        <w:t xml:space="preserve">  </w:t>
      </w:r>
      <w:r w:rsidR="00196FFE" w:rsidRPr="004D2C0C">
        <w:rPr>
          <w:rFonts w:eastAsia="標楷體"/>
          <w:sz w:val="28"/>
          <w:szCs w:val="28"/>
        </w:rPr>
        <w:t>1</w:t>
      </w:r>
      <w:r w:rsidR="007D257D" w:rsidRPr="004D2C0C">
        <w:rPr>
          <w:rFonts w:eastAsia="標楷體"/>
          <w:sz w:val="28"/>
          <w:szCs w:val="28"/>
        </w:rPr>
        <w:t>.</w:t>
      </w:r>
      <w:r w:rsidR="004D2C0C" w:rsidRPr="004D2C0C">
        <w:rPr>
          <w:rFonts w:eastAsia="標楷體" w:hint="eastAsia"/>
          <w:sz w:val="28"/>
          <w:szCs w:val="28"/>
        </w:rPr>
        <w:t>專業學術表現</w:t>
      </w:r>
      <w:r w:rsidR="00196FFE" w:rsidRPr="004D2C0C">
        <w:rPr>
          <w:rFonts w:eastAsia="標楷體"/>
          <w:sz w:val="28"/>
          <w:szCs w:val="28"/>
        </w:rPr>
        <w:t>依據申請人</w:t>
      </w:r>
      <w:r w:rsidR="006565D5" w:rsidRPr="004D2C0C">
        <w:rPr>
          <w:rFonts w:eastAsia="標楷體" w:hint="eastAsia"/>
          <w:sz w:val="28"/>
          <w:szCs w:val="28"/>
        </w:rPr>
        <w:t>送審之</w:t>
      </w:r>
      <w:r w:rsidR="00196FFE" w:rsidRPr="004D2C0C">
        <w:rPr>
          <w:rFonts w:eastAsia="標楷體"/>
          <w:sz w:val="28"/>
          <w:szCs w:val="28"/>
        </w:rPr>
        <w:t>代表著作及參考著作評量</w:t>
      </w:r>
      <w:r w:rsidR="00E5577F" w:rsidRPr="004D2C0C">
        <w:rPr>
          <w:rFonts w:eastAsia="標楷體"/>
          <w:sz w:val="28"/>
          <w:szCs w:val="28"/>
        </w:rPr>
        <w:t>。</w:t>
      </w:r>
    </w:p>
    <w:p w14:paraId="3F20F551" w14:textId="77777777" w:rsidR="00A03523" w:rsidRPr="004D2C0C" w:rsidRDefault="00A03523" w:rsidP="00B80459">
      <w:pPr>
        <w:pStyle w:val="21"/>
        <w:spacing w:after="0" w:line="240" w:lineRule="auto"/>
        <w:ind w:leftChars="210" w:left="680" w:hangingChars="63" w:hanging="176"/>
        <w:rPr>
          <w:rFonts w:eastAsia="標楷體"/>
          <w:sz w:val="28"/>
          <w:szCs w:val="28"/>
        </w:rPr>
      </w:pPr>
      <w:r w:rsidRPr="004D2C0C">
        <w:rPr>
          <w:rFonts w:eastAsia="標楷體" w:hint="eastAsia"/>
          <w:sz w:val="28"/>
          <w:szCs w:val="28"/>
        </w:rPr>
        <w:t xml:space="preserve">   </w:t>
      </w:r>
      <w:r w:rsidR="00C81206" w:rsidRPr="004D2C0C">
        <w:rPr>
          <w:rFonts w:eastAsia="標楷體" w:hint="eastAsia"/>
          <w:sz w:val="28"/>
          <w:szCs w:val="28"/>
        </w:rPr>
        <w:t>送審</w:t>
      </w:r>
      <w:r w:rsidR="003F160F" w:rsidRPr="004D2C0C">
        <w:rPr>
          <w:rFonts w:eastAsia="標楷體" w:hint="eastAsia"/>
          <w:sz w:val="28"/>
          <w:szCs w:val="28"/>
        </w:rPr>
        <w:t>之</w:t>
      </w:r>
      <w:r w:rsidR="00D17AFE" w:rsidRPr="004D2C0C">
        <w:rPr>
          <w:rFonts w:eastAsia="標楷體"/>
          <w:sz w:val="28"/>
          <w:szCs w:val="28"/>
        </w:rPr>
        <w:t>代表著作及參考著作</w:t>
      </w:r>
      <w:r w:rsidR="003F160F" w:rsidRPr="004D2C0C">
        <w:rPr>
          <w:rFonts w:eastAsia="標楷體" w:hint="eastAsia"/>
          <w:sz w:val="28"/>
          <w:szCs w:val="28"/>
        </w:rPr>
        <w:t>之</w:t>
      </w:r>
      <w:r w:rsidR="0096607B" w:rsidRPr="004D2C0C">
        <w:rPr>
          <w:rFonts w:eastAsia="標楷體" w:hint="eastAsia"/>
          <w:sz w:val="28"/>
          <w:szCs w:val="28"/>
        </w:rPr>
        <w:t>形式</w:t>
      </w:r>
      <w:r w:rsidR="00EE1C24" w:rsidRPr="004D2C0C">
        <w:rPr>
          <w:rFonts w:eastAsia="標楷體" w:hint="eastAsia"/>
          <w:sz w:val="28"/>
          <w:szCs w:val="28"/>
        </w:rPr>
        <w:t>(</w:t>
      </w:r>
      <w:r w:rsidR="00EE1C24" w:rsidRPr="004D2C0C">
        <w:rPr>
          <w:rFonts w:eastAsia="標楷體" w:hint="eastAsia"/>
          <w:sz w:val="28"/>
          <w:szCs w:val="28"/>
        </w:rPr>
        <w:t>含專門著作、作品、成就</w:t>
      </w:r>
    </w:p>
    <w:p w14:paraId="297A743A" w14:textId="3F8FB7DB" w:rsidR="00F556B5" w:rsidRPr="004D2C0C" w:rsidRDefault="00A03523" w:rsidP="00B80459">
      <w:pPr>
        <w:pStyle w:val="21"/>
        <w:spacing w:after="0" w:line="240" w:lineRule="auto"/>
        <w:ind w:leftChars="210" w:left="680" w:hangingChars="63" w:hanging="176"/>
        <w:rPr>
          <w:rFonts w:eastAsia="標楷體"/>
          <w:sz w:val="28"/>
          <w:szCs w:val="28"/>
        </w:rPr>
      </w:pPr>
      <w:r w:rsidRPr="004D2C0C">
        <w:rPr>
          <w:rFonts w:eastAsia="標楷體" w:hint="eastAsia"/>
          <w:sz w:val="28"/>
          <w:szCs w:val="28"/>
        </w:rPr>
        <w:t xml:space="preserve">   </w:t>
      </w:r>
      <w:r w:rsidR="00EE1C24" w:rsidRPr="004D2C0C">
        <w:rPr>
          <w:rFonts w:eastAsia="標楷體" w:hint="eastAsia"/>
          <w:sz w:val="28"/>
          <w:szCs w:val="28"/>
        </w:rPr>
        <w:t>證明、技術報告等</w:t>
      </w:r>
      <w:r w:rsidR="00EE1C24" w:rsidRPr="004D2C0C">
        <w:rPr>
          <w:rFonts w:eastAsia="標楷體" w:hint="eastAsia"/>
          <w:sz w:val="28"/>
          <w:szCs w:val="28"/>
        </w:rPr>
        <w:t>)</w:t>
      </w:r>
      <w:r w:rsidR="0096607B" w:rsidRPr="004D2C0C">
        <w:rPr>
          <w:rFonts w:eastAsia="標楷體" w:hint="eastAsia"/>
          <w:sz w:val="28"/>
          <w:szCs w:val="28"/>
        </w:rPr>
        <w:t>、</w:t>
      </w:r>
      <w:r w:rsidR="003F160F" w:rsidRPr="004D2C0C">
        <w:rPr>
          <w:rFonts w:eastAsia="標楷體" w:hint="eastAsia"/>
          <w:sz w:val="28"/>
          <w:szCs w:val="28"/>
        </w:rPr>
        <w:t>條件</w:t>
      </w:r>
      <w:r w:rsidR="0096607B" w:rsidRPr="004D2C0C">
        <w:rPr>
          <w:rFonts w:eastAsia="標楷體" w:hint="eastAsia"/>
          <w:sz w:val="28"/>
          <w:szCs w:val="28"/>
        </w:rPr>
        <w:t>、</w:t>
      </w:r>
      <w:proofErr w:type="gramStart"/>
      <w:r w:rsidR="003F160F" w:rsidRPr="004D2C0C">
        <w:rPr>
          <w:rFonts w:eastAsia="標楷體" w:hint="eastAsia"/>
          <w:sz w:val="28"/>
          <w:szCs w:val="28"/>
        </w:rPr>
        <w:t>數量均依</w:t>
      </w:r>
      <w:proofErr w:type="gramEnd"/>
      <w:r w:rsidR="00D17AFE" w:rsidRPr="004D2C0C">
        <w:rPr>
          <w:rFonts w:eastAsia="標楷體"/>
          <w:sz w:val="28"/>
          <w:szCs w:val="28"/>
        </w:rPr>
        <w:t>「輔仁大學教師升等辦</w:t>
      </w:r>
    </w:p>
    <w:p w14:paraId="59C99462" w14:textId="77777777" w:rsidR="00F556B5" w:rsidRPr="004D2C0C" w:rsidRDefault="00F556B5" w:rsidP="00B80459">
      <w:pPr>
        <w:pStyle w:val="21"/>
        <w:spacing w:after="0" w:line="240" w:lineRule="auto"/>
        <w:ind w:leftChars="210" w:left="680" w:hangingChars="63" w:hanging="176"/>
        <w:rPr>
          <w:rFonts w:eastAsia="標楷體"/>
          <w:sz w:val="28"/>
          <w:szCs w:val="28"/>
        </w:rPr>
      </w:pPr>
      <w:r w:rsidRPr="004D2C0C">
        <w:rPr>
          <w:rFonts w:eastAsia="標楷體" w:hint="eastAsia"/>
          <w:sz w:val="28"/>
          <w:szCs w:val="28"/>
        </w:rPr>
        <w:t xml:space="preserve">   </w:t>
      </w:r>
      <w:r w:rsidR="00D17AFE" w:rsidRPr="004D2C0C">
        <w:rPr>
          <w:rFonts w:eastAsia="標楷體"/>
          <w:sz w:val="28"/>
          <w:szCs w:val="28"/>
        </w:rPr>
        <w:t>法」第</w:t>
      </w:r>
      <w:r w:rsidR="007B687A" w:rsidRPr="004D2C0C">
        <w:rPr>
          <w:rFonts w:eastAsia="標楷體" w:hint="eastAsia"/>
          <w:sz w:val="28"/>
          <w:szCs w:val="28"/>
        </w:rPr>
        <w:t>二</w:t>
      </w:r>
      <w:r w:rsidR="00B50858" w:rsidRPr="004D2C0C">
        <w:rPr>
          <w:rFonts w:eastAsia="標楷體" w:hint="eastAsia"/>
          <w:sz w:val="28"/>
          <w:szCs w:val="28"/>
        </w:rPr>
        <w:t>條</w:t>
      </w:r>
      <w:r w:rsidR="00ED7668" w:rsidRPr="004D2C0C">
        <w:rPr>
          <w:rFonts w:eastAsia="標楷體" w:hint="eastAsia"/>
          <w:sz w:val="28"/>
          <w:szCs w:val="28"/>
        </w:rPr>
        <w:t>、</w:t>
      </w:r>
      <w:r w:rsidR="00B50858" w:rsidRPr="004D2C0C">
        <w:rPr>
          <w:rFonts w:eastAsia="標楷體" w:hint="eastAsia"/>
          <w:sz w:val="28"/>
          <w:szCs w:val="28"/>
        </w:rPr>
        <w:t>第</w:t>
      </w:r>
      <w:r w:rsidR="00897B6F" w:rsidRPr="004D2C0C">
        <w:rPr>
          <w:rFonts w:eastAsia="標楷體" w:hint="eastAsia"/>
          <w:sz w:val="28"/>
          <w:szCs w:val="28"/>
        </w:rPr>
        <w:t>五</w:t>
      </w:r>
      <w:r w:rsidR="00D17AFE" w:rsidRPr="004D2C0C">
        <w:rPr>
          <w:rFonts w:eastAsia="標楷體"/>
          <w:sz w:val="28"/>
          <w:szCs w:val="28"/>
        </w:rPr>
        <w:t>條</w:t>
      </w:r>
      <w:r w:rsidR="00ED7668" w:rsidRPr="004D2C0C">
        <w:rPr>
          <w:rFonts w:eastAsia="標楷體" w:hint="eastAsia"/>
          <w:sz w:val="28"/>
          <w:szCs w:val="28"/>
        </w:rPr>
        <w:t>及第七條，</w:t>
      </w:r>
      <w:r w:rsidR="00D64F94" w:rsidRPr="004D2C0C">
        <w:rPr>
          <w:rFonts w:eastAsia="標楷體" w:hint="eastAsia"/>
          <w:sz w:val="28"/>
          <w:szCs w:val="28"/>
        </w:rPr>
        <w:t>輔仁大學教師以「教學實務</w:t>
      </w:r>
      <w:proofErr w:type="gramStart"/>
      <w:r w:rsidR="00D64F94" w:rsidRPr="004D2C0C">
        <w:rPr>
          <w:rFonts w:eastAsia="標楷體" w:hint="eastAsia"/>
          <w:sz w:val="28"/>
          <w:szCs w:val="28"/>
        </w:rPr>
        <w:t>研</w:t>
      </w:r>
      <w:proofErr w:type="gramEnd"/>
    </w:p>
    <w:p w14:paraId="254E601A" w14:textId="77777777" w:rsidR="00F556B5" w:rsidRPr="004D2C0C" w:rsidRDefault="00F556B5" w:rsidP="00B80459">
      <w:pPr>
        <w:pStyle w:val="21"/>
        <w:spacing w:after="0" w:line="240" w:lineRule="auto"/>
        <w:ind w:leftChars="210" w:left="680" w:hangingChars="63" w:hanging="176"/>
        <w:rPr>
          <w:rFonts w:eastAsia="標楷體"/>
          <w:sz w:val="28"/>
          <w:szCs w:val="28"/>
        </w:rPr>
      </w:pPr>
      <w:r w:rsidRPr="004D2C0C">
        <w:rPr>
          <w:rFonts w:eastAsia="標楷體" w:hint="eastAsia"/>
          <w:sz w:val="28"/>
          <w:szCs w:val="28"/>
        </w:rPr>
        <w:t xml:space="preserve">   </w:t>
      </w:r>
      <w:r w:rsidR="00D64F94" w:rsidRPr="004D2C0C">
        <w:rPr>
          <w:rFonts w:eastAsia="標楷體" w:hint="eastAsia"/>
          <w:sz w:val="28"/>
          <w:szCs w:val="28"/>
        </w:rPr>
        <w:t>發成果報告」升等申請資格審查原則，輔仁大學教師以「產學</w:t>
      </w:r>
    </w:p>
    <w:p w14:paraId="4AC97985" w14:textId="77777777" w:rsidR="00F556B5" w:rsidRPr="004D2C0C" w:rsidRDefault="00F556B5" w:rsidP="00B80459">
      <w:pPr>
        <w:pStyle w:val="21"/>
        <w:spacing w:after="0" w:line="240" w:lineRule="auto"/>
        <w:ind w:leftChars="210" w:left="680" w:hangingChars="63" w:hanging="176"/>
        <w:rPr>
          <w:rFonts w:eastAsia="標楷體"/>
          <w:sz w:val="28"/>
          <w:szCs w:val="28"/>
        </w:rPr>
      </w:pPr>
      <w:r w:rsidRPr="004D2C0C">
        <w:rPr>
          <w:rFonts w:eastAsia="標楷體" w:hint="eastAsia"/>
          <w:sz w:val="28"/>
          <w:szCs w:val="28"/>
        </w:rPr>
        <w:t xml:space="preserve">   </w:t>
      </w:r>
      <w:r w:rsidR="00D64F94" w:rsidRPr="004D2C0C">
        <w:rPr>
          <w:rFonts w:eastAsia="標楷體" w:hint="eastAsia"/>
          <w:sz w:val="28"/>
          <w:szCs w:val="28"/>
        </w:rPr>
        <w:t>合作研發成果報告」升等申請資格審查原則，</w:t>
      </w:r>
      <w:r w:rsidR="006C14B6" w:rsidRPr="004D2C0C">
        <w:rPr>
          <w:rFonts w:eastAsia="標楷體" w:hint="eastAsia"/>
          <w:sz w:val="28"/>
          <w:szCs w:val="28"/>
        </w:rPr>
        <w:t>「輔仁大學民生</w:t>
      </w:r>
    </w:p>
    <w:p w14:paraId="2E47C65F" w14:textId="77777777" w:rsidR="00F556B5" w:rsidRPr="004D2C0C" w:rsidRDefault="00F556B5" w:rsidP="00B80459">
      <w:pPr>
        <w:pStyle w:val="21"/>
        <w:spacing w:after="0" w:line="240" w:lineRule="auto"/>
        <w:ind w:leftChars="210" w:left="680" w:hangingChars="63" w:hanging="176"/>
        <w:rPr>
          <w:rFonts w:eastAsia="標楷體"/>
          <w:sz w:val="28"/>
          <w:szCs w:val="28"/>
        </w:rPr>
      </w:pPr>
      <w:r w:rsidRPr="004D2C0C">
        <w:rPr>
          <w:rFonts w:eastAsia="標楷體" w:hint="eastAsia"/>
          <w:sz w:val="28"/>
          <w:szCs w:val="28"/>
        </w:rPr>
        <w:t xml:space="preserve">   </w:t>
      </w:r>
      <w:r w:rsidR="006C14B6" w:rsidRPr="004D2C0C">
        <w:rPr>
          <w:rFonts w:eastAsia="標楷體" w:hint="eastAsia"/>
          <w:sz w:val="28"/>
          <w:szCs w:val="28"/>
        </w:rPr>
        <w:t>學院教師升等評審辦法」</w:t>
      </w:r>
      <w:r w:rsidR="005478FD" w:rsidRPr="004D2C0C">
        <w:rPr>
          <w:rFonts w:eastAsia="標楷體" w:hint="eastAsia"/>
          <w:sz w:val="28"/>
          <w:szCs w:val="28"/>
        </w:rPr>
        <w:t>第四條</w:t>
      </w:r>
      <w:r w:rsidR="00ED7668" w:rsidRPr="004D2C0C">
        <w:rPr>
          <w:rFonts w:eastAsia="標楷體" w:hint="eastAsia"/>
          <w:sz w:val="28"/>
          <w:szCs w:val="28"/>
        </w:rPr>
        <w:t>，</w:t>
      </w:r>
      <w:r w:rsidR="00826D25" w:rsidRPr="004D2C0C">
        <w:rPr>
          <w:rFonts w:eastAsia="標楷體" w:hint="eastAsia"/>
          <w:sz w:val="28"/>
          <w:szCs w:val="28"/>
        </w:rPr>
        <w:t>「</w:t>
      </w:r>
      <w:bookmarkStart w:id="0" w:name="_Hlk117161113"/>
      <w:r w:rsidR="00C81206" w:rsidRPr="004D2C0C">
        <w:rPr>
          <w:rFonts w:eastAsia="標楷體" w:hint="eastAsia"/>
          <w:sz w:val="28"/>
          <w:szCs w:val="28"/>
        </w:rPr>
        <w:t>民生學院教師升等各系</w:t>
      </w:r>
    </w:p>
    <w:p w14:paraId="1292094D" w14:textId="77777777" w:rsidR="00196FFE" w:rsidRPr="004D2C0C" w:rsidRDefault="00F556B5" w:rsidP="00B80459">
      <w:pPr>
        <w:pStyle w:val="21"/>
        <w:spacing w:after="0" w:line="240" w:lineRule="auto"/>
        <w:ind w:leftChars="210" w:left="680" w:hangingChars="63" w:hanging="176"/>
        <w:rPr>
          <w:rFonts w:eastAsia="標楷體"/>
          <w:sz w:val="28"/>
          <w:szCs w:val="28"/>
        </w:rPr>
      </w:pPr>
      <w:r w:rsidRPr="004D2C0C">
        <w:rPr>
          <w:rFonts w:eastAsia="標楷體" w:hint="eastAsia"/>
          <w:sz w:val="28"/>
          <w:szCs w:val="28"/>
        </w:rPr>
        <w:t xml:space="preserve">   </w:t>
      </w:r>
      <w:r w:rsidR="00C81206" w:rsidRPr="004D2C0C">
        <w:rPr>
          <w:rFonts w:eastAsia="標楷體" w:hint="eastAsia"/>
          <w:sz w:val="28"/>
          <w:szCs w:val="28"/>
        </w:rPr>
        <w:t>『研究發表積分</w:t>
      </w:r>
      <w:proofErr w:type="gramStart"/>
      <w:r w:rsidR="00C81206" w:rsidRPr="004D2C0C">
        <w:rPr>
          <w:rFonts w:eastAsia="標楷體" w:hint="eastAsia"/>
          <w:sz w:val="28"/>
          <w:szCs w:val="28"/>
        </w:rPr>
        <w:t>採</w:t>
      </w:r>
      <w:proofErr w:type="gramEnd"/>
      <w:r w:rsidR="00C81206" w:rsidRPr="004D2C0C">
        <w:rPr>
          <w:rFonts w:eastAsia="標楷體" w:hint="eastAsia"/>
          <w:sz w:val="28"/>
          <w:szCs w:val="28"/>
        </w:rPr>
        <w:t>計等級』參考規範</w:t>
      </w:r>
      <w:bookmarkEnd w:id="0"/>
      <w:r w:rsidR="00826D25" w:rsidRPr="004D2C0C">
        <w:rPr>
          <w:rFonts w:eastAsia="標楷體" w:hint="eastAsia"/>
          <w:sz w:val="28"/>
          <w:szCs w:val="28"/>
        </w:rPr>
        <w:t>」</w:t>
      </w:r>
      <w:r w:rsidR="00D64F94" w:rsidRPr="004D2C0C">
        <w:rPr>
          <w:rFonts w:eastAsia="標楷體" w:hint="eastAsia"/>
          <w:sz w:val="28"/>
          <w:szCs w:val="28"/>
        </w:rPr>
        <w:t>之</w:t>
      </w:r>
      <w:r w:rsidR="00DA63F0" w:rsidRPr="004D2C0C">
        <w:rPr>
          <w:rFonts w:eastAsia="標楷體" w:hint="eastAsia"/>
          <w:sz w:val="28"/>
          <w:szCs w:val="28"/>
        </w:rPr>
        <w:t>相關規定</w:t>
      </w:r>
      <w:r w:rsidR="003F160F" w:rsidRPr="004D2C0C">
        <w:rPr>
          <w:rFonts w:eastAsia="標楷體" w:hint="eastAsia"/>
          <w:sz w:val="28"/>
          <w:szCs w:val="28"/>
        </w:rPr>
        <w:t>辦理</w:t>
      </w:r>
      <w:r w:rsidR="006C14B6" w:rsidRPr="004D2C0C">
        <w:rPr>
          <w:rFonts w:eastAsia="標楷體" w:hint="eastAsia"/>
          <w:sz w:val="28"/>
          <w:szCs w:val="28"/>
        </w:rPr>
        <w:t>。</w:t>
      </w:r>
    </w:p>
    <w:p w14:paraId="077B79D6" w14:textId="77777777" w:rsidR="00196FFE" w:rsidRPr="004D2C0C" w:rsidRDefault="00351419" w:rsidP="00B80459">
      <w:pPr>
        <w:pStyle w:val="21"/>
        <w:spacing w:after="0" w:line="240" w:lineRule="auto"/>
        <w:ind w:leftChars="211" w:left="1114" w:hangingChars="217" w:hanging="608"/>
        <w:rPr>
          <w:rFonts w:eastAsia="標楷體"/>
          <w:sz w:val="28"/>
          <w:szCs w:val="28"/>
        </w:rPr>
      </w:pPr>
      <w:r w:rsidRPr="004D2C0C">
        <w:rPr>
          <w:rFonts w:eastAsia="標楷體" w:hint="eastAsia"/>
          <w:sz w:val="28"/>
          <w:szCs w:val="28"/>
        </w:rPr>
        <w:t xml:space="preserve">  </w:t>
      </w:r>
      <w:r w:rsidR="00D17AFE" w:rsidRPr="004D2C0C">
        <w:rPr>
          <w:rFonts w:eastAsia="標楷體"/>
          <w:sz w:val="28"/>
          <w:szCs w:val="28"/>
        </w:rPr>
        <w:t>2</w:t>
      </w:r>
      <w:r w:rsidR="007D257D" w:rsidRPr="004D2C0C">
        <w:rPr>
          <w:rFonts w:eastAsia="標楷體"/>
          <w:sz w:val="28"/>
          <w:szCs w:val="28"/>
        </w:rPr>
        <w:t>.</w:t>
      </w:r>
      <w:r w:rsidR="00D104A0" w:rsidRPr="004D2C0C">
        <w:rPr>
          <w:rFonts w:eastAsia="標楷體" w:hint="eastAsia"/>
          <w:sz w:val="28"/>
          <w:szCs w:val="28"/>
        </w:rPr>
        <w:t>著作規範</w:t>
      </w:r>
      <w:r w:rsidR="00196FFE" w:rsidRPr="004D2C0C">
        <w:rPr>
          <w:rFonts w:eastAsia="標楷體"/>
          <w:sz w:val="28"/>
          <w:szCs w:val="28"/>
        </w:rPr>
        <w:t>：</w:t>
      </w:r>
    </w:p>
    <w:p w14:paraId="26FDB653" w14:textId="77777777" w:rsidR="00110967" w:rsidRPr="004D2C0C" w:rsidRDefault="007D257D" w:rsidP="00B80459">
      <w:pPr>
        <w:pStyle w:val="21"/>
        <w:spacing w:after="0" w:line="240" w:lineRule="auto"/>
        <w:ind w:leftChars="349" w:left="1258" w:hangingChars="150" w:hanging="420"/>
        <w:rPr>
          <w:rFonts w:eastAsia="標楷體"/>
          <w:sz w:val="28"/>
          <w:szCs w:val="28"/>
        </w:rPr>
      </w:pPr>
      <w:r w:rsidRPr="004D2C0C">
        <w:rPr>
          <w:rFonts w:eastAsia="標楷體"/>
          <w:sz w:val="28"/>
          <w:szCs w:val="28"/>
        </w:rPr>
        <w:t>(</w:t>
      </w:r>
      <w:r w:rsidR="00196FFE" w:rsidRPr="004D2C0C">
        <w:rPr>
          <w:rFonts w:eastAsia="標楷體"/>
          <w:sz w:val="28"/>
          <w:szCs w:val="28"/>
        </w:rPr>
        <w:t>1</w:t>
      </w:r>
      <w:r w:rsidRPr="004D2C0C">
        <w:rPr>
          <w:rFonts w:eastAsia="標楷體"/>
          <w:sz w:val="28"/>
          <w:szCs w:val="28"/>
        </w:rPr>
        <w:t>)</w:t>
      </w:r>
      <w:r w:rsidR="00114497" w:rsidRPr="004D2C0C">
        <w:rPr>
          <w:rFonts w:eastAsia="標楷體"/>
          <w:sz w:val="28"/>
          <w:szCs w:val="28"/>
        </w:rPr>
        <w:t>申請</w:t>
      </w:r>
      <w:r w:rsidR="00196FFE" w:rsidRPr="004D2C0C">
        <w:rPr>
          <w:rFonts w:eastAsia="標楷體"/>
          <w:sz w:val="28"/>
          <w:szCs w:val="28"/>
        </w:rPr>
        <w:t>升等副教授者應在該學術領域內有持續性著作並有具</w:t>
      </w:r>
    </w:p>
    <w:p w14:paraId="6E484EBD" w14:textId="77777777" w:rsidR="00110967" w:rsidRPr="004D2C0C" w:rsidRDefault="00110967" w:rsidP="00B80459">
      <w:pPr>
        <w:pStyle w:val="21"/>
        <w:spacing w:after="0" w:line="240" w:lineRule="auto"/>
        <w:ind w:leftChars="349" w:left="1258" w:hangingChars="150" w:hanging="420"/>
        <w:rPr>
          <w:rFonts w:eastAsia="標楷體"/>
          <w:sz w:val="28"/>
          <w:szCs w:val="28"/>
        </w:rPr>
      </w:pPr>
      <w:r w:rsidRPr="004D2C0C">
        <w:rPr>
          <w:rFonts w:eastAsia="標楷體" w:hint="eastAsia"/>
          <w:sz w:val="28"/>
          <w:szCs w:val="28"/>
        </w:rPr>
        <w:t xml:space="preserve">  </w:t>
      </w:r>
      <w:r w:rsidR="00196FFE" w:rsidRPr="004D2C0C">
        <w:rPr>
          <w:rFonts w:eastAsia="標楷體"/>
          <w:sz w:val="28"/>
          <w:szCs w:val="28"/>
        </w:rPr>
        <w:t>體之貢獻者；</w:t>
      </w:r>
      <w:r w:rsidR="00114497" w:rsidRPr="004D2C0C">
        <w:rPr>
          <w:rFonts w:eastAsia="標楷體"/>
          <w:sz w:val="28"/>
          <w:szCs w:val="28"/>
        </w:rPr>
        <w:t>申請</w:t>
      </w:r>
      <w:r w:rsidR="00196FFE" w:rsidRPr="004D2C0C">
        <w:rPr>
          <w:rFonts w:eastAsia="標楷體"/>
          <w:sz w:val="28"/>
          <w:szCs w:val="28"/>
        </w:rPr>
        <w:t>升等教授者應在該學術領域內有獨創及持</w:t>
      </w:r>
    </w:p>
    <w:p w14:paraId="67019887" w14:textId="77777777" w:rsidR="00196FFE" w:rsidRPr="004D2C0C" w:rsidRDefault="00110967" w:rsidP="00C42154">
      <w:pPr>
        <w:pStyle w:val="21"/>
        <w:spacing w:after="0" w:line="240" w:lineRule="auto"/>
        <w:ind w:leftChars="349" w:left="1258" w:hangingChars="150" w:hanging="420"/>
        <w:rPr>
          <w:rFonts w:eastAsia="標楷體"/>
          <w:sz w:val="28"/>
          <w:szCs w:val="28"/>
        </w:rPr>
      </w:pPr>
      <w:r w:rsidRPr="004D2C0C">
        <w:rPr>
          <w:rFonts w:eastAsia="標楷體" w:hint="eastAsia"/>
          <w:sz w:val="28"/>
          <w:szCs w:val="28"/>
        </w:rPr>
        <w:t xml:space="preserve">  </w:t>
      </w:r>
      <w:r w:rsidR="00196FFE" w:rsidRPr="004D2C0C">
        <w:rPr>
          <w:rFonts w:eastAsia="標楷體"/>
          <w:sz w:val="28"/>
          <w:szCs w:val="28"/>
        </w:rPr>
        <w:t>續性著作並有重要具體之貢獻者</w:t>
      </w:r>
      <w:r w:rsidR="001C485C" w:rsidRPr="004D2C0C">
        <w:rPr>
          <w:rFonts w:eastAsia="標楷體"/>
          <w:sz w:val="28"/>
          <w:szCs w:val="28"/>
        </w:rPr>
        <w:t>。</w:t>
      </w:r>
    </w:p>
    <w:p w14:paraId="4345543A" w14:textId="77777777" w:rsidR="00351419" w:rsidRPr="004D2C0C" w:rsidRDefault="007D257D" w:rsidP="00351419">
      <w:pPr>
        <w:pStyle w:val="21"/>
        <w:spacing w:after="0" w:line="240" w:lineRule="auto"/>
        <w:ind w:leftChars="349" w:left="1258" w:hangingChars="150" w:hanging="420"/>
        <w:rPr>
          <w:rFonts w:eastAsia="標楷體"/>
          <w:sz w:val="28"/>
          <w:szCs w:val="28"/>
        </w:rPr>
      </w:pPr>
      <w:r w:rsidRPr="004D2C0C">
        <w:rPr>
          <w:rFonts w:eastAsia="標楷體"/>
          <w:sz w:val="28"/>
          <w:szCs w:val="28"/>
        </w:rPr>
        <w:t>(</w:t>
      </w:r>
      <w:r w:rsidR="00196FFE" w:rsidRPr="004D2C0C">
        <w:rPr>
          <w:rFonts w:eastAsia="標楷體"/>
          <w:sz w:val="28"/>
          <w:szCs w:val="28"/>
        </w:rPr>
        <w:t>2</w:t>
      </w:r>
      <w:r w:rsidRPr="004D2C0C">
        <w:rPr>
          <w:rFonts w:eastAsia="標楷體"/>
          <w:sz w:val="28"/>
          <w:szCs w:val="28"/>
        </w:rPr>
        <w:t>)</w:t>
      </w:r>
      <w:r w:rsidR="00196FFE" w:rsidRPr="004D2C0C">
        <w:rPr>
          <w:rFonts w:eastAsia="標楷體"/>
          <w:sz w:val="28"/>
          <w:szCs w:val="28"/>
        </w:rPr>
        <w:t>代表著作應以輔仁大學名義發表，</w:t>
      </w:r>
      <w:r w:rsidR="00ED7668" w:rsidRPr="004D2C0C">
        <w:rPr>
          <w:rFonts w:eastAsia="標楷體"/>
          <w:sz w:val="28"/>
          <w:szCs w:val="28"/>
        </w:rPr>
        <w:t>且須為本系評定為五分者</w:t>
      </w:r>
    </w:p>
    <w:p w14:paraId="55BCFF19" w14:textId="77777777" w:rsidR="00351419" w:rsidRPr="004D2C0C" w:rsidRDefault="00351419" w:rsidP="00351419">
      <w:pPr>
        <w:pStyle w:val="21"/>
        <w:spacing w:after="0" w:line="240" w:lineRule="auto"/>
        <w:ind w:leftChars="349" w:left="1258" w:hangingChars="150" w:hanging="420"/>
        <w:rPr>
          <w:rFonts w:eastAsia="標楷體"/>
          <w:sz w:val="28"/>
          <w:szCs w:val="28"/>
        </w:rPr>
      </w:pPr>
      <w:r w:rsidRPr="004D2C0C">
        <w:rPr>
          <w:rFonts w:eastAsia="標楷體" w:hint="eastAsia"/>
          <w:sz w:val="28"/>
          <w:szCs w:val="28"/>
        </w:rPr>
        <w:t xml:space="preserve">  </w:t>
      </w:r>
      <w:r w:rsidR="00ED7668" w:rsidRPr="004D2C0C">
        <w:rPr>
          <w:rFonts w:eastAsia="標楷體"/>
          <w:sz w:val="28"/>
          <w:szCs w:val="28"/>
        </w:rPr>
        <w:t>為限</w:t>
      </w:r>
      <w:r w:rsidR="0016267D" w:rsidRPr="004D2C0C">
        <w:rPr>
          <w:rFonts w:eastAsia="標楷體" w:hint="eastAsia"/>
          <w:sz w:val="28"/>
          <w:szCs w:val="28"/>
        </w:rPr>
        <w:t>，並</w:t>
      </w:r>
      <w:r w:rsidR="00B75AEB" w:rsidRPr="004D2C0C">
        <w:rPr>
          <w:rFonts w:eastAsia="標楷體"/>
          <w:sz w:val="28"/>
          <w:szCs w:val="28"/>
        </w:rPr>
        <w:t>為送審人取得前一等級教師資格後</w:t>
      </w:r>
      <w:r w:rsidR="00020A96" w:rsidRPr="004D2C0C">
        <w:rPr>
          <w:rFonts w:eastAsia="標楷體" w:hint="eastAsia"/>
          <w:sz w:val="28"/>
          <w:szCs w:val="28"/>
        </w:rPr>
        <w:t>之</w:t>
      </w:r>
      <w:r w:rsidR="00B75AEB" w:rsidRPr="004D2C0C">
        <w:rPr>
          <w:rFonts w:eastAsia="標楷體"/>
          <w:sz w:val="28"/>
          <w:szCs w:val="28"/>
        </w:rPr>
        <w:t>著作</w:t>
      </w:r>
      <w:r w:rsidR="00196FFE" w:rsidRPr="004D2C0C">
        <w:rPr>
          <w:rFonts w:eastAsia="標楷體"/>
          <w:sz w:val="28"/>
          <w:szCs w:val="28"/>
        </w:rPr>
        <w:t>，申請者</w:t>
      </w:r>
    </w:p>
    <w:p w14:paraId="4E934D9B" w14:textId="77777777" w:rsidR="00196FFE" w:rsidRPr="004D2C0C" w:rsidRDefault="00351419" w:rsidP="00351419">
      <w:pPr>
        <w:pStyle w:val="21"/>
        <w:spacing w:after="0" w:line="240" w:lineRule="auto"/>
        <w:ind w:leftChars="349" w:left="1258" w:hangingChars="150" w:hanging="420"/>
        <w:rPr>
          <w:rFonts w:eastAsia="標楷體"/>
          <w:sz w:val="28"/>
          <w:szCs w:val="28"/>
        </w:rPr>
      </w:pPr>
      <w:r w:rsidRPr="004D2C0C">
        <w:rPr>
          <w:rFonts w:eastAsia="標楷體" w:hint="eastAsia"/>
          <w:sz w:val="28"/>
          <w:szCs w:val="28"/>
        </w:rPr>
        <w:lastRenderedPageBreak/>
        <w:t xml:space="preserve">  </w:t>
      </w:r>
      <w:r w:rsidR="00196FFE" w:rsidRPr="004D2C0C">
        <w:rPr>
          <w:rFonts w:eastAsia="標楷體"/>
          <w:sz w:val="28"/>
          <w:szCs w:val="28"/>
        </w:rPr>
        <w:t>須證明本人為代表</w:t>
      </w:r>
      <w:r w:rsidR="007D257D" w:rsidRPr="004D2C0C">
        <w:rPr>
          <w:rFonts w:eastAsia="標楷體"/>
          <w:sz w:val="28"/>
          <w:szCs w:val="28"/>
        </w:rPr>
        <w:t>著</w:t>
      </w:r>
      <w:r w:rsidR="00196FFE" w:rsidRPr="004D2C0C">
        <w:rPr>
          <w:rFonts w:eastAsia="標楷體"/>
          <w:sz w:val="28"/>
          <w:szCs w:val="28"/>
        </w:rPr>
        <w:t>作之主要作者。</w:t>
      </w:r>
    </w:p>
    <w:p w14:paraId="0414FFE4" w14:textId="77777777" w:rsidR="00F414D1" w:rsidRPr="004D2C0C" w:rsidRDefault="00F414D1" w:rsidP="00B80459">
      <w:pPr>
        <w:pStyle w:val="21"/>
        <w:spacing w:after="0" w:line="240" w:lineRule="auto"/>
        <w:ind w:leftChars="210" w:left="680" w:hangingChars="63" w:hanging="176"/>
        <w:rPr>
          <w:rFonts w:eastAsia="標楷體"/>
          <w:sz w:val="28"/>
          <w:szCs w:val="28"/>
        </w:rPr>
      </w:pPr>
      <w:r w:rsidRPr="004D2C0C">
        <w:rPr>
          <w:rFonts w:eastAsia="標楷體" w:hint="eastAsia"/>
          <w:sz w:val="28"/>
          <w:szCs w:val="28"/>
        </w:rPr>
        <w:t xml:space="preserve">  (</w:t>
      </w:r>
      <w:r w:rsidR="00D17AFE" w:rsidRPr="004D2C0C">
        <w:rPr>
          <w:rFonts w:eastAsia="標楷體"/>
          <w:sz w:val="28"/>
          <w:szCs w:val="28"/>
        </w:rPr>
        <w:t>3</w:t>
      </w:r>
      <w:r w:rsidRPr="004D2C0C">
        <w:rPr>
          <w:rFonts w:eastAsia="標楷體" w:hint="eastAsia"/>
          <w:sz w:val="28"/>
          <w:szCs w:val="28"/>
        </w:rPr>
        <w:t>)</w:t>
      </w:r>
      <w:r w:rsidR="00B75AEB" w:rsidRPr="004D2C0C">
        <w:rPr>
          <w:rFonts w:eastAsia="標楷體"/>
          <w:sz w:val="28"/>
          <w:szCs w:val="28"/>
        </w:rPr>
        <w:t>代表著作及參考著作須為已被國內、外學術期刊刊登。如已</w:t>
      </w:r>
    </w:p>
    <w:p w14:paraId="34A9735E" w14:textId="77777777" w:rsidR="00B56D21" w:rsidRPr="004D2C0C" w:rsidRDefault="00F414D1" w:rsidP="00B80459">
      <w:pPr>
        <w:pStyle w:val="21"/>
        <w:spacing w:after="0" w:line="240" w:lineRule="auto"/>
        <w:ind w:leftChars="210" w:left="680" w:hangingChars="63" w:hanging="176"/>
        <w:rPr>
          <w:rFonts w:eastAsia="標楷體"/>
          <w:sz w:val="28"/>
          <w:szCs w:val="28"/>
        </w:rPr>
      </w:pPr>
      <w:r w:rsidRPr="004D2C0C">
        <w:rPr>
          <w:rFonts w:eastAsia="標楷體" w:hint="eastAsia"/>
          <w:sz w:val="28"/>
          <w:szCs w:val="28"/>
        </w:rPr>
        <w:t xml:space="preserve">    </w:t>
      </w:r>
      <w:r w:rsidR="00B75AEB" w:rsidRPr="004D2C0C">
        <w:rPr>
          <w:rFonts w:eastAsia="標楷體"/>
          <w:sz w:val="28"/>
          <w:szCs w:val="28"/>
        </w:rPr>
        <w:t>為接受將定期發表者，應檢附接受函之證明</w:t>
      </w:r>
      <w:r w:rsidR="00196FFE" w:rsidRPr="004D2C0C">
        <w:rPr>
          <w:rFonts w:eastAsia="標楷體"/>
          <w:sz w:val="28"/>
          <w:szCs w:val="28"/>
        </w:rPr>
        <w:t>。</w:t>
      </w:r>
    </w:p>
    <w:p w14:paraId="63BBB70F" w14:textId="77777777" w:rsidR="00F414D1" w:rsidRPr="004D2C0C" w:rsidRDefault="00F414D1" w:rsidP="00B80459">
      <w:pPr>
        <w:pStyle w:val="21"/>
        <w:spacing w:after="0" w:line="240" w:lineRule="auto"/>
        <w:ind w:leftChars="210" w:left="680" w:hangingChars="63" w:hanging="176"/>
        <w:rPr>
          <w:rFonts w:eastAsia="標楷體"/>
          <w:sz w:val="28"/>
          <w:szCs w:val="28"/>
        </w:rPr>
      </w:pPr>
      <w:r w:rsidRPr="004D2C0C">
        <w:rPr>
          <w:rFonts w:eastAsia="標楷體" w:hint="eastAsia"/>
          <w:sz w:val="28"/>
          <w:szCs w:val="28"/>
        </w:rPr>
        <w:t xml:space="preserve">  (</w:t>
      </w:r>
      <w:r w:rsidR="00D17AFE" w:rsidRPr="004D2C0C">
        <w:rPr>
          <w:rFonts w:eastAsia="標楷體"/>
          <w:sz w:val="28"/>
          <w:szCs w:val="28"/>
        </w:rPr>
        <w:t>4</w:t>
      </w:r>
      <w:r w:rsidRPr="004D2C0C">
        <w:rPr>
          <w:rFonts w:eastAsia="標楷體" w:hint="eastAsia"/>
          <w:sz w:val="28"/>
          <w:szCs w:val="28"/>
        </w:rPr>
        <w:t>)</w:t>
      </w:r>
      <w:r w:rsidR="00E72811" w:rsidRPr="004D2C0C">
        <w:rPr>
          <w:rFonts w:eastAsia="標楷體"/>
          <w:sz w:val="28"/>
          <w:szCs w:val="28"/>
        </w:rPr>
        <w:t>著作積分計算，依</w:t>
      </w:r>
      <w:r w:rsidR="00DA27A3" w:rsidRPr="004D2C0C">
        <w:rPr>
          <w:rFonts w:eastAsia="標楷體" w:hint="eastAsia"/>
          <w:sz w:val="28"/>
          <w:szCs w:val="28"/>
        </w:rPr>
        <w:t>『</w:t>
      </w:r>
      <w:r w:rsidR="0016267D" w:rsidRPr="004D2C0C">
        <w:rPr>
          <w:rFonts w:eastAsia="標楷體" w:hint="eastAsia"/>
          <w:sz w:val="28"/>
          <w:szCs w:val="28"/>
        </w:rPr>
        <w:t>民生學院教師升等各系『研究發表積分</w:t>
      </w:r>
    </w:p>
    <w:p w14:paraId="336AB974" w14:textId="77777777" w:rsidR="00AF3BA5" w:rsidRPr="004D2C0C" w:rsidRDefault="00351419" w:rsidP="00AF3BA5">
      <w:pPr>
        <w:pStyle w:val="21"/>
        <w:tabs>
          <w:tab w:val="center" w:pos="4504"/>
        </w:tabs>
        <w:spacing w:after="0" w:line="240" w:lineRule="auto"/>
        <w:ind w:leftChars="210" w:left="680" w:hangingChars="63" w:hanging="176"/>
        <w:rPr>
          <w:rFonts w:eastAsia="標楷體"/>
          <w:sz w:val="28"/>
          <w:szCs w:val="28"/>
        </w:rPr>
      </w:pPr>
      <w:r w:rsidRPr="004D2C0C">
        <w:rPr>
          <w:rFonts w:eastAsia="標楷體" w:hint="eastAsia"/>
          <w:sz w:val="28"/>
          <w:szCs w:val="28"/>
        </w:rPr>
        <w:t xml:space="preserve">   </w:t>
      </w:r>
      <w:r w:rsidR="00F414D1" w:rsidRPr="004D2C0C">
        <w:rPr>
          <w:rFonts w:eastAsia="標楷體" w:hint="eastAsia"/>
          <w:sz w:val="28"/>
          <w:szCs w:val="28"/>
        </w:rPr>
        <w:t xml:space="preserve"> </w:t>
      </w:r>
      <w:proofErr w:type="gramStart"/>
      <w:r w:rsidR="0016267D" w:rsidRPr="004D2C0C">
        <w:rPr>
          <w:rFonts w:eastAsia="標楷體" w:hint="eastAsia"/>
          <w:sz w:val="28"/>
          <w:szCs w:val="28"/>
        </w:rPr>
        <w:t>採</w:t>
      </w:r>
      <w:proofErr w:type="gramEnd"/>
      <w:r w:rsidR="0016267D" w:rsidRPr="004D2C0C">
        <w:rPr>
          <w:rFonts w:eastAsia="標楷體" w:hint="eastAsia"/>
          <w:sz w:val="28"/>
          <w:szCs w:val="28"/>
        </w:rPr>
        <w:t>計等級』參考規範</w:t>
      </w:r>
      <w:r w:rsidR="00DA27A3" w:rsidRPr="004D2C0C">
        <w:rPr>
          <w:rFonts w:eastAsia="標楷體" w:hint="eastAsia"/>
          <w:sz w:val="28"/>
          <w:szCs w:val="28"/>
        </w:rPr>
        <w:t>』</w:t>
      </w:r>
      <w:r w:rsidR="00C72597" w:rsidRPr="004D2C0C">
        <w:rPr>
          <w:rFonts w:eastAsia="標楷體" w:hint="eastAsia"/>
          <w:sz w:val="28"/>
          <w:szCs w:val="28"/>
        </w:rPr>
        <w:t>辦理，</w:t>
      </w:r>
      <w:proofErr w:type="gramStart"/>
      <w:r w:rsidR="00E72811" w:rsidRPr="004D2C0C">
        <w:rPr>
          <w:rFonts w:eastAsia="標楷體"/>
          <w:sz w:val="28"/>
          <w:szCs w:val="28"/>
        </w:rPr>
        <w:t>惟升等</w:t>
      </w:r>
      <w:proofErr w:type="gramEnd"/>
      <w:r w:rsidR="00E72811" w:rsidRPr="004D2C0C">
        <w:rPr>
          <w:rFonts w:eastAsia="標楷體"/>
          <w:sz w:val="28"/>
          <w:szCs w:val="28"/>
        </w:rPr>
        <w:t>教授</w:t>
      </w:r>
      <w:proofErr w:type="gramStart"/>
      <w:r w:rsidR="00E72811" w:rsidRPr="004D2C0C">
        <w:rPr>
          <w:rFonts w:eastAsia="標楷體"/>
          <w:sz w:val="28"/>
          <w:szCs w:val="28"/>
        </w:rPr>
        <w:t>總分應在</w:t>
      </w:r>
      <w:proofErr w:type="gramEnd"/>
      <w:r w:rsidR="00E72811" w:rsidRPr="004D2C0C">
        <w:rPr>
          <w:rFonts w:eastAsia="標楷體"/>
          <w:sz w:val="28"/>
          <w:szCs w:val="28"/>
        </w:rPr>
        <w:t>20</w:t>
      </w:r>
      <w:r w:rsidR="00F47497" w:rsidRPr="004D2C0C">
        <w:rPr>
          <w:rFonts w:eastAsia="標楷體" w:hint="eastAsia"/>
          <w:sz w:val="28"/>
          <w:szCs w:val="28"/>
        </w:rPr>
        <w:t>點</w:t>
      </w:r>
      <w:r w:rsidR="00E72811" w:rsidRPr="004D2C0C">
        <w:rPr>
          <w:rFonts w:eastAsia="標楷體"/>
          <w:sz w:val="28"/>
          <w:szCs w:val="28"/>
        </w:rPr>
        <w:t>以</w:t>
      </w:r>
    </w:p>
    <w:p w14:paraId="20596C69" w14:textId="77777777" w:rsidR="00B56D21" w:rsidRPr="004D2C0C" w:rsidRDefault="00AF3BA5" w:rsidP="00AF3BA5">
      <w:pPr>
        <w:pStyle w:val="21"/>
        <w:tabs>
          <w:tab w:val="center" w:pos="4504"/>
        </w:tabs>
        <w:spacing w:after="0" w:line="240" w:lineRule="auto"/>
        <w:ind w:leftChars="210" w:left="680" w:hangingChars="63" w:hanging="176"/>
        <w:rPr>
          <w:rFonts w:eastAsia="標楷體"/>
          <w:sz w:val="28"/>
          <w:szCs w:val="28"/>
        </w:rPr>
      </w:pPr>
      <w:r w:rsidRPr="004D2C0C">
        <w:rPr>
          <w:rFonts w:eastAsia="標楷體" w:hint="eastAsia"/>
          <w:sz w:val="28"/>
          <w:szCs w:val="28"/>
        </w:rPr>
        <w:t xml:space="preserve">    </w:t>
      </w:r>
      <w:r w:rsidR="00E72811" w:rsidRPr="004D2C0C">
        <w:rPr>
          <w:rFonts w:eastAsia="標楷體"/>
          <w:sz w:val="28"/>
          <w:szCs w:val="28"/>
        </w:rPr>
        <w:t>上，副教授</w:t>
      </w:r>
      <w:r w:rsidR="00E72811" w:rsidRPr="004D2C0C">
        <w:rPr>
          <w:rFonts w:eastAsia="標楷體"/>
          <w:sz w:val="28"/>
          <w:szCs w:val="28"/>
        </w:rPr>
        <w:t>15</w:t>
      </w:r>
      <w:r w:rsidR="00F47497" w:rsidRPr="004D2C0C">
        <w:rPr>
          <w:rFonts w:eastAsia="標楷體" w:hint="eastAsia"/>
          <w:sz w:val="28"/>
          <w:szCs w:val="28"/>
        </w:rPr>
        <w:t>點</w:t>
      </w:r>
      <w:r w:rsidR="00E72811" w:rsidRPr="004D2C0C">
        <w:rPr>
          <w:rFonts w:eastAsia="標楷體"/>
          <w:sz w:val="28"/>
          <w:szCs w:val="28"/>
        </w:rPr>
        <w:t>以上。</w:t>
      </w:r>
    </w:p>
    <w:p w14:paraId="21A0C6BF" w14:textId="77777777" w:rsidR="00110967" w:rsidRPr="004D2C0C" w:rsidRDefault="00351419" w:rsidP="00B80459">
      <w:pPr>
        <w:pStyle w:val="a6"/>
        <w:spacing w:line="240" w:lineRule="auto"/>
        <w:ind w:left="720" w:hanging="720"/>
        <w:rPr>
          <w:rFonts w:ascii="Times New Roman" w:eastAsia="標楷體"/>
          <w:b w:val="0"/>
          <w:sz w:val="28"/>
          <w:szCs w:val="28"/>
        </w:rPr>
      </w:pPr>
      <w:r w:rsidRPr="004D2C0C">
        <w:rPr>
          <w:rFonts w:ascii="Times New Roman" w:eastAsia="標楷體" w:hint="eastAsia"/>
          <w:b w:val="0"/>
          <w:sz w:val="28"/>
          <w:szCs w:val="28"/>
        </w:rPr>
        <w:t xml:space="preserve">  </w:t>
      </w:r>
      <w:r w:rsidR="00D85241" w:rsidRPr="004D2C0C">
        <w:rPr>
          <w:rFonts w:ascii="Times New Roman" w:eastAsia="標楷體" w:hint="eastAsia"/>
          <w:b w:val="0"/>
          <w:sz w:val="28"/>
          <w:szCs w:val="28"/>
        </w:rPr>
        <w:t>(</w:t>
      </w:r>
      <w:r w:rsidR="00D85241" w:rsidRPr="004D2C0C">
        <w:rPr>
          <w:rFonts w:ascii="Times New Roman" w:eastAsia="標楷體" w:hint="eastAsia"/>
          <w:b w:val="0"/>
          <w:sz w:val="28"/>
          <w:szCs w:val="28"/>
        </w:rPr>
        <w:t>二</w:t>
      </w:r>
      <w:r w:rsidR="00D85241" w:rsidRPr="004D2C0C">
        <w:rPr>
          <w:rFonts w:ascii="Times New Roman" w:eastAsia="標楷體" w:hint="eastAsia"/>
          <w:b w:val="0"/>
          <w:sz w:val="28"/>
          <w:szCs w:val="28"/>
        </w:rPr>
        <w:t>)</w:t>
      </w:r>
      <w:r w:rsidR="00196FFE" w:rsidRPr="004D2C0C">
        <w:rPr>
          <w:rFonts w:ascii="Times New Roman" w:eastAsia="標楷體"/>
          <w:b w:val="0"/>
          <w:sz w:val="28"/>
          <w:szCs w:val="28"/>
        </w:rPr>
        <w:t>教學</w:t>
      </w:r>
      <w:r w:rsidR="00D9596E" w:rsidRPr="004D2C0C">
        <w:rPr>
          <w:rFonts w:ascii="Times New Roman" w:eastAsia="標楷體"/>
          <w:b w:val="0"/>
          <w:sz w:val="28"/>
          <w:szCs w:val="28"/>
        </w:rPr>
        <w:t>、</w:t>
      </w:r>
      <w:r w:rsidR="00196FFE" w:rsidRPr="004D2C0C">
        <w:rPr>
          <w:rFonts w:ascii="Times New Roman" w:eastAsia="標楷體"/>
          <w:b w:val="0"/>
          <w:sz w:val="28"/>
          <w:szCs w:val="28"/>
        </w:rPr>
        <w:t>服務</w:t>
      </w:r>
      <w:r w:rsidR="004271BB" w:rsidRPr="004D2C0C">
        <w:rPr>
          <w:rFonts w:ascii="Times New Roman" w:eastAsia="標楷體"/>
          <w:b w:val="0"/>
          <w:sz w:val="28"/>
          <w:szCs w:val="28"/>
        </w:rPr>
        <w:t>(</w:t>
      </w:r>
      <w:r w:rsidR="004271BB" w:rsidRPr="004D2C0C">
        <w:rPr>
          <w:rFonts w:ascii="Times New Roman" w:eastAsia="標楷體"/>
          <w:b w:val="0"/>
          <w:sz w:val="28"/>
          <w:szCs w:val="28"/>
        </w:rPr>
        <w:t>含輔導</w:t>
      </w:r>
      <w:r w:rsidR="004271BB" w:rsidRPr="004D2C0C">
        <w:rPr>
          <w:rFonts w:ascii="Times New Roman" w:eastAsia="標楷體"/>
          <w:b w:val="0"/>
          <w:sz w:val="28"/>
          <w:szCs w:val="28"/>
        </w:rPr>
        <w:t>):</w:t>
      </w:r>
      <w:r w:rsidR="004271BB" w:rsidRPr="004D2C0C">
        <w:rPr>
          <w:rFonts w:ascii="Times New Roman" w:eastAsia="標楷體"/>
          <w:b w:val="0"/>
          <w:sz w:val="28"/>
          <w:szCs w:val="28"/>
        </w:rPr>
        <w:t>依</w:t>
      </w:r>
      <w:r w:rsidR="00D85241" w:rsidRPr="004D2C0C">
        <w:rPr>
          <w:rFonts w:ascii="Times New Roman" w:eastAsia="標楷體"/>
          <w:b w:val="0"/>
          <w:sz w:val="28"/>
          <w:szCs w:val="28"/>
        </w:rPr>
        <w:t>「</w:t>
      </w:r>
      <w:r w:rsidR="004271BB" w:rsidRPr="004D2C0C">
        <w:rPr>
          <w:rFonts w:ascii="Times New Roman" w:eastAsia="標楷體"/>
          <w:b w:val="0"/>
          <w:sz w:val="28"/>
          <w:szCs w:val="28"/>
        </w:rPr>
        <w:t>輔仁大學教師資格審查教學服務成績考核辦法」辦理</w:t>
      </w:r>
      <w:r w:rsidR="00AE7914" w:rsidRPr="004D2C0C">
        <w:rPr>
          <w:rFonts w:ascii="Times New Roman" w:eastAsia="標楷體"/>
          <w:b w:val="0"/>
          <w:sz w:val="28"/>
          <w:szCs w:val="28"/>
        </w:rPr>
        <w:t>，依申請升等教師送審之「教學服務成績</w:t>
      </w:r>
      <w:r w:rsidR="00241888" w:rsidRPr="004D2C0C">
        <w:rPr>
          <w:rFonts w:ascii="Times New Roman" w:eastAsia="標楷體"/>
          <w:b w:val="0"/>
          <w:sz w:val="28"/>
          <w:szCs w:val="28"/>
        </w:rPr>
        <w:t>考核評分</w:t>
      </w:r>
    </w:p>
    <w:p w14:paraId="2FF5559E" w14:textId="77777777" w:rsidR="00110967" w:rsidRPr="004D2C0C" w:rsidRDefault="00351419" w:rsidP="00B80459">
      <w:pPr>
        <w:pStyle w:val="a6"/>
        <w:spacing w:line="240" w:lineRule="auto"/>
        <w:ind w:left="720" w:hanging="720"/>
        <w:rPr>
          <w:rFonts w:ascii="Times New Roman" w:eastAsia="標楷體"/>
          <w:b w:val="0"/>
          <w:sz w:val="28"/>
          <w:szCs w:val="28"/>
        </w:rPr>
      </w:pPr>
      <w:r w:rsidRPr="004D2C0C">
        <w:rPr>
          <w:rFonts w:ascii="Times New Roman" w:eastAsia="標楷體" w:hint="eastAsia"/>
          <w:b w:val="0"/>
          <w:sz w:val="28"/>
          <w:szCs w:val="28"/>
        </w:rPr>
        <w:t xml:space="preserve">     </w:t>
      </w:r>
      <w:r w:rsidR="00241888" w:rsidRPr="004D2C0C">
        <w:rPr>
          <w:rFonts w:ascii="Times New Roman" w:eastAsia="標楷體"/>
          <w:b w:val="0"/>
          <w:sz w:val="28"/>
          <w:szCs w:val="28"/>
        </w:rPr>
        <w:t>標準表</w:t>
      </w:r>
      <w:r w:rsidR="00AE7914" w:rsidRPr="004D2C0C">
        <w:rPr>
          <w:rFonts w:ascii="Times New Roman" w:eastAsia="標楷體"/>
          <w:b w:val="0"/>
          <w:sz w:val="28"/>
          <w:szCs w:val="28"/>
        </w:rPr>
        <w:t>」</w:t>
      </w:r>
      <w:r w:rsidR="00241888" w:rsidRPr="004D2C0C">
        <w:rPr>
          <w:rFonts w:ascii="Times New Roman" w:eastAsia="標楷體"/>
          <w:b w:val="0"/>
          <w:sz w:val="28"/>
          <w:szCs w:val="28"/>
        </w:rPr>
        <w:t>(</w:t>
      </w:r>
      <w:r w:rsidR="00241888" w:rsidRPr="004D2C0C">
        <w:rPr>
          <w:rFonts w:ascii="Times New Roman" w:eastAsia="標楷體"/>
          <w:b w:val="0"/>
          <w:sz w:val="28"/>
          <w:szCs w:val="28"/>
        </w:rPr>
        <w:t>受審人自評部分</w:t>
      </w:r>
      <w:r w:rsidR="00241888" w:rsidRPr="004D2C0C">
        <w:rPr>
          <w:rFonts w:ascii="Times New Roman" w:eastAsia="標楷體"/>
          <w:b w:val="0"/>
          <w:sz w:val="28"/>
          <w:szCs w:val="28"/>
        </w:rPr>
        <w:t>)</w:t>
      </w:r>
      <w:r w:rsidR="00241888" w:rsidRPr="004D2C0C">
        <w:rPr>
          <w:rFonts w:ascii="Times New Roman" w:eastAsia="標楷體"/>
          <w:b w:val="0"/>
          <w:sz w:val="28"/>
          <w:szCs w:val="28"/>
        </w:rPr>
        <w:t>審查之，另就教學及服務</w:t>
      </w:r>
      <w:r w:rsidR="00241888" w:rsidRPr="004D2C0C">
        <w:rPr>
          <w:rFonts w:ascii="Times New Roman" w:eastAsia="標楷體"/>
          <w:b w:val="0"/>
          <w:sz w:val="28"/>
          <w:szCs w:val="28"/>
        </w:rPr>
        <w:t>(</w:t>
      </w:r>
      <w:r w:rsidR="00241888" w:rsidRPr="004D2C0C">
        <w:rPr>
          <w:rFonts w:ascii="Times New Roman" w:eastAsia="標楷體"/>
          <w:b w:val="0"/>
          <w:sz w:val="28"/>
          <w:szCs w:val="28"/>
        </w:rPr>
        <w:t>含輔導</w:t>
      </w:r>
      <w:r w:rsidR="00241888" w:rsidRPr="004D2C0C">
        <w:rPr>
          <w:rFonts w:ascii="Times New Roman" w:eastAsia="標楷體"/>
          <w:b w:val="0"/>
          <w:sz w:val="28"/>
          <w:szCs w:val="28"/>
        </w:rPr>
        <w:t>)</w:t>
      </w:r>
      <w:r w:rsidR="00241888" w:rsidRPr="004D2C0C">
        <w:rPr>
          <w:rFonts w:ascii="Times New Roman" w:eastAsia="標楷體"/>
          <w:b w:val="0"/>
          <w:sz w:val="28"/>
          <w:szCs w:val="28"/>
        </w:rPr>
        <w:t>項目</w:t>
      </w:r>
    </w:p>
    <w:p w14:paraId="71E26C22" w14:textId="77777777" w:rsidR="00A4509C" w:rsidRPr="004D2C0C" w:rsidRDefault="00110967" w:rsidP="00B80459">
      <w:pPr>
        <w:pStyle w:val="a6"/>
        <w:spacing w:line="240" w:lineRule="auto"/>
        <w:ind w:left="720" w:hanging="720"/>
        <w:rPr>
          <w:rFonts w:ascii="Times New Roman" w:eastAsia="標楷體"/>
          <w:b w:val="0"/>
          <w:sz w:val="28"/>
          <w:szCs w:val="28"/>
        </w:rPr>
      </w:pPr>
      <w:r w:rsidRPr="004D2C0C">
        <w:rPr>
          <w:rFonts w:ascii="Times New Roman" w:eastAsia="標楷體" w:hint="eastAsia"/>
          <w:b w:val="0"/>
          <w:sz w:val="28"/>
          <w:szCs w:val="28"/>
        </w:rPr>
        <w:t xml:space="preserve"> </w:t>
      </w:r>
      <w:r w:rsidR="00351419" w:rsidRPr="004D2C0C">
        <w:rPr>
          <w:rFonts w:ascii="Times New Roman" w:eastAsia="標楷體" w:hint="eastAsia"/>
          <w:b w:val="0"/>
          <w:sz w:val="28"/>
          <w:szCs w:val="28"/>
        </w:rPr>
        <w:t xml:space="preserve">    </w:t>
      </w:r>
      <w:r w:rsidR="00241888" w:rsidRPr="004D2C0C">
        <w:rPr>
          <w:rFonts w:ascii="Times New Roman" w:eastAsia="標楷體"/>
          <w:b w:val="0"/>
          <w:sz w:val="28"/>
          <w:szCs w:val="28"/>
        </w:rPr>
        <w:t>內容綜合考評</w:t>
      </w:r>
      <w:r w:rsidR="004271BB" w:rsidRPr="004D2C0C">
        <w:rPr>
          <w:rFonts w:ascii="Times New Roman" w:eastAsia="標楷體"/>
          <w:b w:val="0"/>
          <w:sz w:val="28"/>
          <w:szCs w:val="28"/>
        </w:rPr>
        <w:t>。</w:t>
      </w:r>
    </w:p>
    <w:p w14:paraId="165B371C" w14:textId="77777777" w:rsidR="00196FFE" w:rsidRPr="004D2C0C" w:rsidRDefault="00351419" w:rsidP="00B80459">
      <w:pPr>
        <w:pStyle w:val="21"/>
        <w:snapToGrid w:val="0"/>
        <w:spacing w:after="0" w:line="240" w:lineRule="auto"/>
        <w:ind w:leftChars="211" w:left="1674" w:hangingChars="417" w:hanging="1168"/>
        <w:rPr>
          <w:rFonts w:eastAsia="標楷體"/>
          <w:sz w:val="28"/>
          <w:szCs w:val="28"/>
        </w:rPr>
      </w:pPr>
      <w:r w:rsidRPr="004D2C0C">
        <w:rPr>
          <w:rFonts w:eastAsia="標楷體" w:hint="eastAsia"/>
          <w:sz w:val="28"/>
          <w:szCs w:val="28"/>
        </w:rPr>
        <w:t xml:space="preserve">  </w:t>
      </w:r>
      <w:r w:rsidR="00196FFE" w:rsidRPr="004D2C0C">
        <w:rPr>
          <w:rFonts w:eastAsia="標楷體"/>
          <w:sz w:val="28"/>
          <w:szCs w:val="28"/>
        </w:rPr>
        <w:t>1</w:t>
      </w:r>
      <w:r w:rsidR="007D257D" w:rsidRPr="004D2C0C">
        <w:rPr>
          <w:rFonts w:eastAsia="標楷體"/>
          <w:sz w:val="28"/>
          <w:szCs w:val="28"/>
        </w:rPr>
        <w:t>.</w:t>
      </w:r>
      <w:r w:rsidR="00196FFE" w:rsidRPr="004D2C0C">
        <w:rPr>
          <w:rFonts w:eastAsia="標楷體"/>
          <w:sz w:val="28"/>
          <w:szCs w:val="28"/>
        </w:rPr>
        <w:t>教學：由系</w:t>
      </w:r>
      <w:r w:rsidR="00D00472" w:rsidRPr="004D2C0C">
        <w:rPr>
          <w:rFonts w:eastAsia="標楷體"/>
          <w:sz w:val="28"/>
          <w:szCs w:val="28"/>
        </w:rPr>
        <w:t>教</w:t>
      </w:r>
      <w:r w:rsidR="00196FFE" w:rsidRPr="004D2C0C">
        <w:rPr>
          <w:rFonts w:eastAsia="標楷體"/>
          <w:sz w:val="28"/>
          <w:szCs w:val="28"/>
        </w:rPr>
        <w:t>評會委員就學生</w:t>
      </w:r>
      <w:r w:rsidR="00AE7914" w:rsidRPr="004D2C0C">
        <w:rPr>
          <w:rFonts w:eastAsia="標楷體"/>
          <w:sz w:val="28"/>
          <w:szCs w:val="28"/>
        </w:rPr>
        <w:t>教學評量</w:t>
      </w:r>
      <w:r w:rsidR="00196FFE" w:rsidRPr="004D2C0C">
        <w:rPr>
          <w:rFonts w:eastAsia="標楷體"/>
          <w:sz w:val="28"/>
          <w:szCs w:val="28"/>
        </w:rPr>
        <w:t>資料、教學大綱、教材、教法及學生作業評分</w:t>
      </w:r>
      <w:r w:rsidR="00AE7914" w:rsidRPr="004D2C0C">
        <w:rPr>
          <w:rFonts w:eastAsia="標楷體"/>
          <w:sz w:val="28"/>
          <w:szCs w:val="28"/>
        </w:rPr>
        <w:t>等綜合考評參考</w:t>
      </w:r>
      <w:r w:rsidR="00196FFE" w:rsidRPr="004D2C0C">
        <w:rPr>
          <w:rFonts w:eastAsia="標楷體"/>
          <w:sz w:val="28"/>
          <w:szCs w:val="28"/>
        </w:rPr>
        <w:t>。</w:t>
      </w:r>
    </w:p>
    <w:p w14:paraId="445DF03C" w14:textId="77777777" w:rsidR="00196FFE" w:rsidRPr="004D2C0C" w:rsidRDefault="00351419" w:rsidP="00B80459">
      <w:pPr>
        <w:pStyle w:val="21"/>
        <w:snapToGrid w:val="0"/>
        <w:spacing w:after="0" w:line="240" w:lineRule="auto"/>
        <w:ind w:leftChars="211" w:left="1114" w:hangingChars="217" w:hanging="608"/>
        <w:rPr>
          <w:rFonts w:eastAsia="標楷體"/>
          <w:sz w:val="28"/>
          <w:szCs w:val="28"/>
        </w:rPr>
      </w:pPr>
      <w:r w:rsidRPr="004D2C0C">
        <w:rPr>
          <w:rFonts w:eastAsia="標楷體" w:hint="eastAsia"/>
          <w:sz w:val="28"/>
          <w:szCs w:val="28"/>
        </w:rPr>
        <w:t xml:space="preserve">  </w:t>
      </w:r>
      <w:r w:rsidR="00196FFE" w:rsidRPr="004D2C0C">
        <w:rPr>
          <w:rFonts w:eastAsia="標楷體"/>
          <w:sz w:val="28"/>
          <w:szCs w:val="28"/>
        </w:rPr>
        <w:t>2</w:t>
      </w:r>
      <w:r w:rsidR="007D257D" w:rsidRPr="004D2C0C">
        <w:rPr>
          <w:rFonts w:eastAsia="標楷體"/>
          <w:sz w:val="28"/>
          <w:szCs w:val="28"/>
        </w:rPr>
        <w:t>.</w:t>
      </w:r>
      <w:r w:rsidR="00196FFE" w:rsidRPr="004D2C0C">
        <w:rPr>
          <w:rFonts w:eastAsia="標楷體"/>
          <w:sz w:val="28"/>
          <w:szCs w:val="28"/>
        </w:rPr>
        <w:t>服務</w:t>
      </w:r>
      <w:r w:rsidR="004271BB" w:rsidRPr="004D2C0C">
        <w:rPr>
          <w:rFonts w:eastAsia="標楷體"/>
          <w:sz w:val="28"/>
          <w:szCs w:val="28"/>
        </w:rPr>
        <w:t>(</w:t>
      </w:r>
      <w:r w:rsidR="004271BB" w:rsidRPr="004D2C0C">
        <w:rPr>
          <w:rFonts w:eastAsia="標楷體"/>
          <w:sz w:val="28"/>
          <w:szCs w:val="28"/>
        </w:rPr>
        <w:t>含輔導</w:t>
      </w:r>
      <w:r w:rsidR="004271BB" w:rsidRPr="004D2C0C">
        <w:rPr>
          <w:rFonts w:eastAsia="標楷體"/>
          <w:sz w:val="28"/>
          <w:szCs w:val="28"/>
        </w:rPr>
        <w:t>)</w:t>
      </w:r>
      <w:r w:rsidR="00196FFE" w:rsidRPr="004D2C0C">
        <w:rPr>
          <w:rFonts w:eastAsia="標楷體"/>
          <w:sz w:val="28"/>
          <w:szCs w:val="28"/>
        </w:rPr>
        <w:t>：</w:t>
      </w:r>
    </w:p>
    <w:p w14:paraId="62D5F713" w14:textId="77777777" w:rsidR="00196FFE" w:rsidRPr="004D2C0C" w:rsidRDefault="00725913" w:rsidP="00B80459">
      <w:pPr>
        <w:pStyle w:val="21"/>
        <w:snapToGrid w:val="0"/>
        <w:spacing w:after="0" w:line="240" w:lineRule="auto"/>
        <w:ind w:leftChars="350" w:left="1316" w:hanging="476"/>
        <w:rPr>
          <w:rFonts w:eastAsia="標楷體"/>
          <w:sz w:val="28"/>
          <w:szCs w:val="28"/>
        </w:rPr>
      </w:pPr>
      <w:r w:rsidRPr="004D2C0C">
        <w:rPr>
          <w:rFonts w:eastAsia="標楷體"/>
          <w:sz w:val="28"/>
          <w:szCs w:val="28"/>
        </w:rPr>
        <w:t>(</w:t>
      </w:r>
      <w:r w:rsidR="0050332B" w:rsidRPr="004D2C0C">
        <w:rPr>
          <w:rFonts w:eastAsia="標楷體"/>
          <w:sz w:val="28"/>
          <w:szCs w:val="28"/>
        </w:rPr>
        <w:t>1</w:t>
      </w:r>
      <w:r w:rsidRPr="004D2C0C">
        <w:rPr>
          <w:rFonts w:eastAsia="標楷體"/>
          <w:sz w:val="28"/>
          <w:szCs w:val="28"/>
        </w:rPr>
        <w:t>)</w:t>
      </w:r>
      <w:r w:rsidR="0050332B" w:rsidRPr="004D2C0C">
        <w:rPr>
          <w:rFonts w:eastAsia="標楷體"/>
          <w:sz w:val="28"/>
          <w:szCs w:val="28"/>
        </w:rPr>
        <w:t>系行政配合</w:t>
      </w:r>
      <w:r w:rsidR="00241888" w:rsidRPr="004D2C0C">
        <w:rPr>
          <w:rFonts w:eastAsia="標楷體"/>
          <w:sz w:val="28"/>
          <w:szCs w:val="28"/>
        </w:rPr>
        <w:t>評鑑</w:t>
      </w:r>
      <w:r w:rsidR="00FD56B8" w:rsidRPr="004D2C0C">
        <w:rPr>
          <w:rFonts w:eastAsia="標楷體"/>
          <w:sz w:val="28"/>
          <w:szCs w:val="28"/>
        </w:rPr>
        <w:t>：</w:t>
      </w:r>
      <w:r w:rsidR="0050332B" w:rsidRPr="004D2C0C">
        <w:rPr>
          <w:rFonts w:eastAsia="標楷體"/>
          <w:sz w:val="28"/>
          <w:szCs w:val="28"/>
        </w:rPr>
        <w:t>由</w:t>
      </w:r>
      <w:r w:rsidR="00C25336" w:rsidRPr="004D2C0C">
        <w:rPr>
          <w:rFonts w:eastAsia="標楷體" w:hint="eastAsia"/>
          <w:sz w:val="28"/>
          <w:szCs w:val="28"/>
        </w:rPr>
        <w:t>召集人</w:t>
      </w:r>
      <w:r w:rsidR="0050332B" w:rsidRPr="004D2C0C">
        <w:rPr>
          <w:rFonts w:eastAsia="標楷體"/>
          <w:sz w:val="28"/>
          <w:szCs w:val="28"/>
        </w:rPr>
        <w:t>依</w:t>
      </w:r>
      <w:proofErr w:type="gramStart"/>
      <w:r w:rsidR="0050332B" w:rsidRPr="004D2C0C">
        <w:rPr>
          <w:rFonts w:eastAsia="標楷體"/>
          <w:sz w:val="28"/>
          <w:szCs w:val="28"/>
        </w:rPr>
        <w:t>申請人就系行政</w:t>
      </w:r>
      <w:proofErr w:type="gramEnd"/>
      <w:r w:rsidR="0050332B" w:rsidRPr="004D2C0C">
        <w:rPr>
          <w:rFonts w:eastAsia="標楷體"/>
          <w:sz w:val="28"/>
          <w:szCs w:val="28"/>
        </w:rPr>
        <w:t>配合評分，並考量品德操守，交給系</w:t>
      </w:r>
      <w:r w:rsidR="00D00472" w:rsidRPr="004D2C0C">
        <w:rPr>
          <w:rFonts w:eastAsia="標楷體"/>
          <w:sz w:val="28"/>
          <w:szCs w:val="28"/>
        </w:rPr>
        <w:t>教</w:t>
      </w:r>
      <w:r w:rsidR="0050332B" w:rsidRPr="004D2C0C">
        <w:rPr>
          <w:rFonts w:eastAsia="標楷體"/>
          <w:sz w:val="28"/>
          <w:szCs w:val="28"/>
        </w:rPr>
        <w:t>評會參考。</w:t>
      </w:r>
    </w:p>
    <w:p w14:paraId="45748678" w14:textId="77777777" w:rsidR="00196FFE" w:rsidRPr="004D2C0C" w:rsidRDefault="00725913" w:rsidP="00B80459">
      <w:pPr>
        <w:pStyle w:val="21"/>
        <w:snapToGrid w:val="0"/>
        <w:spacing w:after="0" w:line="240" w:lineRule="auto"/>
        <w:ind w:leftChars="350" w:left="1316" w:hanging="476"/>
        <w:rPr>
          <w:rFonts w:eastAsia="標楷體"/>
          <w:sz w:val="28"/>
          <w:szCs w:val="28"/>
        </w:rPr>
      </w:pPr>
      <w:r w:rsidRPr="004D2C0C">
        <w:rPr>
          <w:rFonts w:eastAsia="標楷體"/>
          <w:sz w:val="28"/>
          <w:szCs w:val="28"/>
        </w:rPr>
        <w:t>(</w:t>
      </w:r>
      <w:r w:rsidR="00196FFE" w:rsidRPr="004D2C0C">
        <w:rPr>
          <w:rFonts w:eastAsia="標楷體"/>
          <w:sz w:val="28"/>
          <w:szCs w:val="28"/>
        </w:rPr>
        <w:t>2</w:t>
      </w:r>
      <w:r w:rsidRPr="004D2C0C">
        <w:rPr>
          <w:rFonts w:eastAsia="標楷體"/>
          <w:sz w:val="28"/>
          <w:szCs w:val="28"/>
        </w:rPr>
        <w:t>)</w:t>
      </w:r>
      <w:r w:rsidR="00196FFE" w:rsidRPr="004D2C0C">
        <w:rPr>
          <w:rFonts w:eastAsia="標楷體"/>
          <w:sz w:val="28"/>
          <w:szCs w:val="28"/>
        </w:rPr>
        <w:t>同儕</w:t>
      </w:r>
      <w:r w:rsidR="00241888" w:rsidRPr="004D2C0C">
        <w:rPr>
          <w:rFonts w:eastAsia="標楷體"/>
          <w:sz w:val="28"/>
          <w:szCs w:val="28"/>
        </w:rPr>
        <w:t>評鑑</w:t>
      </w:r>
      <w:r w:rsidR="00FD56B8" w:rsidRPr="004D2C0C">
        <w:rPr>
          <w:rFonts w:eastAsia="標楷體"/>
          <w:sz w:val="28"/>
          <w:szCs w:val="28"/>
        </w:rPr>
        <w:t>：由</w:t>
      </w:r>
      <w:r w:rsidR="00AA6503" w:rsidRPr="004D2C0C">
        <w:rPr>
          <w:rFonts w:eastAsia="標楷體" w:hint="eastAsia"/>
          <w:sz w:val="28"/>
          <w:szCs w:val="28"/>
        </w:rPr>
        <w:t>召集人</w:t>
      </w:r>
      <w:r w:rsidR="00FD56B8" w:rsidRPr="004D2C0C">
        <w:rPr>
          <w:rFonts w:eastAsia="標楷體"/>
          <w:sz w:val="28"/>
          <w:szCs w:val="28"/>
        </w:rPr>
        <w:t>指定兩位同儕教師評分，</w:t>
      </w:r>
      <w:r w:rsidR="00D00472" w:rsidRPr="004D2C0C">
        <w:rPr>
          <w:rFonts w:eastAsia="標楷體"/>
          <w:sz w:val="28"/>
          <w:szCs w:val="28"/>
        </w:rPr>
        <w:t>列為</w:t>
      </w:r>
      <w:r w:rsidR="00196FFE" w:rsidRPr="004D2C0C">
        <w:rPr>
          <w:rFonts w:eastAsia="標楷體"/>
          <w:sz w:val="28"/>
          <w:szCs w:val="28"/>
        </w:rPr>
        <w:t>系</w:t>
      </w:r>
      <w:r w:rsidR="005E23A3" w:rsidRPr="004D2C0C">
        <w:rPr>
          <w:rFonts w:eastAsia="標楷體"/>
          <w:sz w:val="28"/>
          <w:szCs w:val="28"/>
        </w:rPr>
        <w:t>教</w:t>
      </w:r>
      <w:r w:rsidR="00196FFE" w:rsidRPr="004D2C0C">
        <w:rPr>
          <w:rFonts w:eastAsia="標楷體"/>
          <w:sz w:val="28"/>
          <w:szCs w:val="28"/>
        </w:rPr>
        <w:t>評會委員評分</w:t>
      </w:r>
      <w:r w:rsidR="00D00472" w:rsidRPr="004D2C0C">
        <w:rPr>
          <w:rFonts w:eastAsia="標楷體"/>
          <w:sz w:val="28"/>
          <w:szCs w:val="28"/>
        </w:rPr>
        <w:t>參考</w:t>
      </w:r>
      <w:r w:rsidR="00196FFE" w:rsidRPr="004D2C0C">
        <w:rPr>
          <w:rFonts w:eastAsia="標楷體"/>
          <w:sz w:val="28"/>
          <w:szCs w:val="28"/>
        </w:rPr>
        <w:t>。</w:t>
      </w:r>
    </w:p>
    <w:p w14:paraId="6DB68DEC" w14:textId="48838E28" w:rsidR="00A03523" w:rsidRPr="004D2C0C" w:rsidRDefault="001B6987" w:rsidP="00B80459">
      <w:pPr>
        <w:spacing w:line="240" w:lineRule="auto"/>
        <w:ind w:left="599" w:hangingChars="214" w:hanging="599"/>
        <w:jc w:val="both"/>
        <w:rPr>
          <w:rFonts w:eastAsia="標楷體"/>
          <w:sz w:val="28"/>
          <w:szCs w:val="28"/>
        </w:rPr>
      </w:pPr>
      <w:r w:rsidRPr="004D2C0C">
        <w:rPr>
          <w:rFonts w:eastAsia="標楷體" w:hint="eastAsia"/>
          <w:sz w:val="28"/>
          <w:szCs w:val="28"/>
        </w:rPr>
        <w:t>第</w:t>
      </w:r>
      <w:r w:rsidR="00B42FB9" w:rsidRPr="004D2C0C">
        <w:rPr>
          <w:rFonts w:eastAsia="標楷體" w:hint="eastAsia"/>
          <w:sz w:val="28"/>
          <w:szCs w:val="28"/>
        </w:rPr>
        <w:t>五</w:t>
      </w:r>
      <w:r w:rsidRPr="004D2C0C">
        <w:rPr>
          <w:rFonts w:eastAsia="標楷體" w:hint="eastAsia"/>
          <w:sz w:val="28"/>
          <w:szCs w:val="28"/>
        </w:rPr>
        <w:t>條</w:t>
      </w:r>
      <w:r w:rsidR="00196FFE" w:rsidRPr="004D2C0C">
        <w:rPr>
          <w:rFonts w:eastAsia="標楷體"/>
          <w:sz w:val="28"/>
          <w:szCs w:val="28"/>
        </w:rPr>
        <w:t>、系教評會應就申請人</w:t>
      </w:r>
      <w:r w:rsidR="0050332B" w:rsidRPr="004D2C0C">
        <w:rPr>
          <w:rFonts w:eastAsia="標楷體"/>
          <w:sz w:val="28"/>
          <w:szCs w:val="28"/>
        </w:rPr>
        <w:t>之</w:t>
      </w:r>
      <w:r w:rsidR="004D2C0C" w:rsidRPr="004D2C0C">
        <w:rPr>
          <w:rFonts w:eastAsia="標楷體" w:hint="eastAsia"/>
          <w:sz w:val="28"/>
          <w:szCs w:val="28"/>
        </w:rPr>
        <w:t>專業學術表現</w:t>
      </w:r>
      <w:r w:rsidR="00D9596E" w:rsidRPr="004D2C0C">
        <w:rPr>
          <w:rFonts w:eastAsia="標楷體"/>
          <w:sz w:val="28"/>
          <w:szCs w:val="28"/>
        </w:rPr>
        <w:t>、教學、服務及輔導</w:t>
      </w:r>
      <w:r w:rsidR="00196FFE" w:rsidRPr="004D2C0C">
        <w:rPr>
          <w:rFonts w:eastAsia="標楷體"/>
          <w:sz w:val="28"/>
          <w:szCs w:val="28"/>
        </w:rPr>
        <w:t>資料，</w:t>
      </w:r>
    </w:p>
    <w:p w14:paraId="10CA7CFA" w14:textId="407C1F2A" w:rsidR="00A20090" w:rsidRPr="004D2C0C" w:rsidRDefault="00A03523" w:rsidP="00B80459">
      <w:pPr>
        <w:spacing w:line="240" w:lineRule="auto"/>
        <w:ind w:left="599" w:hangingChars="214" w:hanging="599"/>
        <w:jc w:val="both"/>
        <w:rPr>
          <w:rFonts w:eastAsia="標楷體"/>
          <w:sz w:val="28"/>
          <w:szCs w:val="28"/>
        </w:rPr>
      </w:pPr>
      <w:r w:rsidRPr="004D2C0C">
        <w:rPr>
          <w:rFonts w:eastAsia="標楷體" w:hint="eastAsia"/>
          <w:sz w:val="28"/>
          <w:szCs w:val="28"/>
        </w:rPr>
        <w:t xml:space="preserve">       </w:t>
      </w:r>
      <w:r w:rsidR="00196FFE" w:rsidRPr="004D2C0C">
        <w:rPr>
          <w:rFonts w:eastAsia="標楷體"/>
          <w:sz w:val="28"/>
          <w:szCs w:val="28"/>
        </w:rPr>
        <w:t>根據評分標準加以綜合考評。升等申請人之初審</w:t>
      </w:r>
      <w:r w:rsidR="004F5DB1" w:rsidRPr="004D2C0C">
        <w:rPr>
          <w:rFonts w:eastAsia="標楷體"/>
          <w:sz w:val="28"/>
          <w:szCs w:val="28"/>
        </w:rPr>
        <w:t>成績</w:t>
      </w:r>
      <w:r w:rsidR="00196FFE" w:rsidRPr="004D2C0C">
        <w:rPr>
          <w:rFonts w:eastAsia="標楷體"/>
          <w:sz w:val="28"/>
          <w:szCs w:val="28"/>
        </w:rPr>
        <w:t>分項均須</w:t>
      </w:r>
    </w:p>
    <w:p w14:paraId="77A2539B" w14:textId="77777777" w:rsidR="00A03523" w:rsidRPr="004D2C0C" w:rsidRDefault="00A20090" w:rsidP="00B80459">
      <w:pPr>
        <w:spacing w:line="240" w:lineRule="auto"/>
        <w:ind w:left="599" w:hangingChars="214" w:hanging="599"/>
        <w:jc w:val="both"/>
        <w:rPr>
          <w:rFonts w:eastAsia="標楷體"/>
          <w:sz w:val="28"/>
          <w:szCs w:val="28"/>
        </w:rPr>
      </w:pPr>
      <w:r w:rsidRPr="004D2C0C">
        <w:rPr>
          <w:rFonts w:eastAsia="標楷體" w:hint="eastAsia"/>
          <w:sz w:val="28"/>
          <w:szCs w:val="28"/>
        </w:rPr>
        <w:t xml:space="preserve">       </w:t>
      </w:r>
      <w:r w:rsidR="00196FFE" w:rsidRPr="004D2C0C">
        <w:rPr>
          <w:rFonts w:eastAsia="標楷體"/>
          <w:sz w:val="28"/>
          <w:szCs w:val="28"/>
        </w:rPr>
        <w:t>達</w:t>
      </w:r>
      <w:r w:rsidR="00196FFE" w:rsidRPr="004D2C0C">
        <w:rPr>
          <w:rFonts w:eastAsia="標楷體"/>
          <w:sz w:val="28"/>
          <w:szCs w:val="28"/>
        </w:rPr>
        <w:t>80</w:t>
      </w:r>
      <w:r w:rsidR="00196FFE" w:rsidRPr="004D2C0C">
        <w:rPr>
          <w:rFonts w:eastAsia="標楷體"/>
          <w:sz w:val="28"/>
          <w:szCs w:val="28"/>
        </w:rPr>
        <w:t>分</w:t>
      </w:r>
      <w:r w:rsidR="004F5DB1" w:rsidRPr="004D2C0C">
        <w:rPr>
          <w:rFonts w:eastAsia="標楷體"/>
          <w:sz w:val="28"/>
          <w:szCs w:val="28"/>
        </w:rPr>
        <w:t>(</w:t>
      </w:r>
      <w:r w:rsidR="004F5DB1" w:rsidRPr="004D2C0C">
        <w:rPr>
          <w:rFonts w:eastAsia="標楷體"/>
          <w:sz w:val="28"/>
          <w:szCs w:val="28"/>
        </w:rPr>
        <w:t>含</w:t>
      </w:r>
      <w:r w:rsidR="004F5DB1" w:rsidRPr="004D2C0C">
        <w:rPr>
          <w:rFonts w:eastAsia="標楷體"/>
          <w:sz w:val="28"/>
          <w:szCs w:val="28"/>
        </w:rPr>
        <w:t>)</w:t>
      </w:r>
      <w:r w:rsidR="00196FFE" w:rsidRPr="004D2C0C">
        <w:rPr>
          <w:rFonts w:eastAsia="標楷體"/>
          <w:sz w:val="28"/>
          <w:szCs w:val="28"/>
        </w:rPr>
        <w:t>以上為合格標準。系教評會須由</w:t>
      </w:r>
      <w:r w:rsidR="00D85241" w:rsidRPr="004D2C0C">
        <w:rPr>
          <w:rFonts w:eastAsia="標楷體" w:hint="eastAsia"/>
          <w:sz w:val="28"/>
          <w:szCs w:val="28"/>
        </w:rPr>
        <w:t>審查等級</w:t>
      </w:r>
      <w:r w:rsidR="00D85241" w:rsidRPr="004D2C0C">
        <w:rPr>
          <w:rFonts w:eastAsia="標楷體" w:hint="eastAsia"/>
          <w:sz w:val="28"/>
          <w:szCs w:val="28"/>
        </w:rPr>
        <w:t>(</w:t>
      </w:r>
      <w:r w:rsidR="00D85241" w:rsidRPr="004D2C0C">
        <w:rPr>
          <w:rFonts w:eastAsia="標楷體" w:hint="eastAsia"/>
          <w:sz w:val="28"/>
          <w:szCs w:val="28"/>
        </w:rPr>
        <w:t>含</w:t>
      </w:r>
      <w:r w:rsidR="00D85241" w:rsidRPr="004D2C0C">
        <w:rPr>
          <w:rFonts w:eastAsia="標楷體" w:hint="eastAsia"/>
          <w:sz w:val="28"/>
          <w:szCs w:val="28"/>
        </w:rPr>
        <w:t>)</w:t>
      </w:r>
      <w:r w:rsidR="00D85241" w:rsidRPr="004D2C0C">
        <w:rPr>
          <w:rFonts w:eastAsia="標楷體" w:hint="eastAsia"/>
          <w:sz w:val="28"/>
          <w:szCs w:val="28"/>
        </w:rPr>
        <w:t>以</w:t>
      </w:r>
    </w:p>
    <w:p w14:paraId="1E9EF896" w14:textId="296E59B8" w:rsidR="00A20090" w:rsidRPr="004D2C0C" w:rsidRDefault="00A20090" w:rsidP="00B80459">
      <w:pPr>
        <w:spacing w:line="240" w:lineRule="auto"/>
        <w:ind w:left="599" w:hangingChars="214" w:hanging="599"/>
        <w:jc w:val="both"/>
        <w:rPr>
          <w:rFonts w:eastAsia="標楷體"/>
          <w:sz w:val="28"/>
          <w:szCs w:val="28"/>
        </w:rPr>
      </w:pPr>
      <w:r w:rsidRPr="004D2C0C">
        <w:rPr>
          <w:rFonts w:eastAsia="標楷體" w:hint="eastAsia"/>
          <w:sz w:val="28"/>
          <w:szCs w:val="28"/>
        </w:rPr>
        <w:t xml:space="preserve">       </w:t>
      </w:r>
      <w:r w:rsidR="00D85241" w:rsidRPr="004D2C0C">
        <w:rPr>
          <w:rFonts w:eastAsia="標楷體" w:hint="eastAsia"/>
          <w:sz w:val="28"/>
          <w:szCs w:val="28"/>
        </w:rPr>
        <w:t>上</w:t>
      </w:r>
      <w:r w:rsidR="00196FFE" w:rsidRPr="004D2C0C">
        <w:rPr>
          <w:rFonts w:eastAsia="標楷體"/>
          <w:sz w:val="28"/>
          <w:szCs w:val="28"/>
        </w:rPr>
        <w:t>委員</w:t>
      </w:r>
      <w:r w:rsidR="00D85241" w:rsidRPr="004D2C0C">
        <w:rPr>
          <w:rFonts w:eastAsia="標楷體" w:hint="eastAsia"/>
          <w:sz w:val="28"/>
          <w:szCs w:val="28"/>
        </w:rPr>
        <w:t>組成，</w:t>
      </w:r>
      <w:r w:rsidR="00196FFE" w:rsidRPr="004D2C0C">
        <w:rPr>
          <w:rFonts w:eastAsia="標楷體"/>
          <w:sz w:val="28"/>
          <w:szCs w:val="28"/>
        </w:rPr>
        <w:t>2/3(</w:t>
      </w:r>
      <w:r w:rsidR="00196FFE" w:rsidRPr="004D2C0C">
        <w:rPr>
          <w:rFonts w:eastAsia="標楷體"/>
          <w:sz w:val="28"/>
          <w:szCs w:val="28"/>
        </w:rPr>
        <w:t>含</w:t>
      </w:r>
      <w:r w:rsidR="00196FFE" w:rsidRPr="004D2C0C">
        <w:rPr>
          <w:rFonts w:eastAsia="標楷體"/>
          <w:sz w:val="28"/>
          <w:szCs w:val="28"/>
        </w:rPr>
        <w:t>)</w:t>
      </w:r>
      <w:r w:rsidR="00196FFE" w:rsidRPr="004D2C0C">
        <w:rPr>
          <w:rFonts w:eastAsia="標楷體"/>
          <w:sz w:val="28"/>
          <w:szCs w:val="28"/>
        </w:rPr>
        <w:t>以上出席，並以不具名方式投票表決，經</w:t>
      </w:r>
    </w:p>
    <w:p w14:paraId="53B35507" w14:textId="0974BDCA" w:rsidR="00A20090" w:rsidRPr="004D2C0C" w:rsidRDefault="00A20090" w:rsidP="00B80459">
      <w:pPr>
        <w:spacing w:line="240" w:lineRule="auto"/>
        <w:ind w:left="599" w:hangingChars="214" w:hanging="599"/>
        <w:jc w:val="both"/>
        <w:rPr>
          <w:rFonts w:eastAsia="標楷體"/>
          <w:sz w:val="28"/>
          <w:szCs w:val="28"/>
        </w:rPr>
      </w:pPr>
      <w:r w:rsidRPr="004D2C0C">
        <w:rPr>
          <w:rFonts w:eastAsia="標楷體" w:hint="eastAsia"/>
          <w:sz w:val="28"/>
          <w:szCs w:val="28"/>
        </w:rPr>
        <w:t xml:space="preserve">       </w:t>
      </w:r>
      <w:r w:rsidR="00196FFE" w:rsidRPr="004D2C0C">
        <w:rPr>
          <w:rFonts w:eastAsia="標楷體"/>
          <w:sz w:val="28"/>
          <w:szCs w:val="28"/>
        </w:rPr>
        <w:t>2/3(</w:t>
      </w:r>
      <w:r w:rsidR="00196FFE" w:rsidRPr="004D2C0C">
        <w:rPr>
          <w:rFonts w:eastAsia="標楷體"/>
          <w:sz w:val="28"/>
          <w:szCs w:val="28"/>
        </w:rPr>
        <w:t>含</w:t>
      </w:r>
      <w:r w:rsidR="00196FFE" w:rsidRPr="004D2C0C">
        <w:rPr>
          <w:rFonts w:eastAsia="標楷體"/>
          <w:sz w:val="28"/>
          <w:szCs w:val="28"/>
        </w:rPr>
        <w:t>)</w:t>
      </w:r>
      <w:r w:rsidR="00196FFE" w:rsidRPr="004D2C0C">
        <w:rPr>
          <w:rFonts w:eastAsia="標楷體"/>
          <w:sz w:val="28"/>
          <w:szCs w:val="28"/>
        </w:rPr>
        <w:t>以上出席委員同意推薦，方得送院</w:t>
      </w:r>
      <w:r w:rsidR="00D85241" w:rsidRPr="004D2C0C">
        <w:rPr>
          <w:rFonts w:eastAsia="標楷體" w:hint="eastAsia"/>
          <w:sz w:val="28"/>
          <w:szCs w:val="28"/>
        </w:rPr>
        <w:t>教評會</w:t>
      </w:r>
      <w:r w:rsidR="00196FFE" w:rsidRPr="004D2C0C">
        <w:rPr>
          <w:rFonts w:eastAsia="標楷體"/>
          <w:sz w:val="28"/>
          <w:szCs w:val="28"/>
        </w:rPr>
        <w:t>審</w:t>
      </w:r>
      <w:r w:rsidR="00D9596E" w:rsidRPr="004D2C0C">
        <w:rPr>
          <w:rFonts w:eastAsia="標楷體"/>
          <w:sz w:val="28"/>
          <w:szCs w:val="28"/>
        </w:rPr>
        <w:t>查</w:t>
      </w:r>
      <w:r w:rsidR="00196FFE" w:rsidRPr="004D2C0C">
        <w:rPr>
          <w:rFonts w:eastAsia="標楷體"/>
          <w:sz w:val="28"/>
          <w:szCs w:val="28"/>
        </w:rPr>
        <w:t>。若</w:t>
      </w:r>
      <w:r w:rsidR="00FD56B8" w:rsidRPr="004D2C0C">
        <w:rPr>
          <w:rFonts w:eastAsia="標楷體"/>
          <w:sz w:val="28"/>
          <w:szCs w:val="28"/>
        </w:rPr>
        <w:t>委員</w:t>
      </w:r>
    </w:p>
    <w:p w14:paraId="21D1D2C6" w14:textId="5EA1AEF8" w:rsidR="00A20090" w:rsidRPr="004D2C0C" w:rsidRDefault="00A20090" w:rsidP="00B80459">
      <w:pPr>
        <w:spacing w:line="240" w:lineRule="auto"/>
        <w:ind w:left="599" w:hangingChars="214" w:hanging="599"/>
        <w:jc w:val="both"/>
        <w:rPr>
          <w:rFonts w:eastAsia="標楷體"/>
          <w:sz w:val="28"/>
          <w:szCs w:val="28"/>
        </w:rPr>
      </w:pPr>
      <w:r w:rsidRPr="004D2C0C">
        <w:rPr>
          <w:rFonts w:eastAsia="標楷體" w:hint="eastAsia"/>
          <w:sz w:val="28"/>
          <w:szCs w:val="28"/>
        </w:rPr>
        <w:t xml:space="preserve">       </w:t>
      </w:r>
      <w:r w:rsidR="00FD56B8" w:rsidRPr="004D2C0C">
        <w:rPr>
          <w:rFonts w:eastAsia="標楷體"/>
          <w:sz w:val="28"/>
          <w:szCs w:val="28"/>
        </w:rPr>
        <w:t>會決議</w:t>
      </w:r>
      <w:r w:rsidR="00196FFE" w:rsidRPr="004D2C0C">
        <w:rPr>
          <w:rFonts w:eastAsia="標楷體"/>
          <w:sz w:val="28"/>
          <w:szCs w:val="28"/>
        </w:rPr>
        <w:t>不通過者，</w:t>
      </w:r>
      <w:r w:rsidR="00FD56B8" w:rsidRPr="004D2C0C">
        <w:rPr>
          <w:rFonts w:eastAsia="標楷體"/>
          <w:sz w:val="28"/>
          <w:szCs w:val="28"/>
        </w:rPr>
        <w:t>應提出具體理由，經行政簽核程序，以「</w:t>
      </w:r>
      <w:r w:rsidR="004D77A7" w:rsidRPr="004D2C0C">
        <w:rPr>
          <w:rFonts w:eastAsia="標楷體" w:hint="eastAsia"/>
          <w:sz w:val="28"/>
          <w:szCs w:val="28"/>
        </w:rPr>
        <w:t>教</w:t>
      </w:r>
    </w:p>
    <w:p w14:paraId="098FB89F" w14:textId="7BC24FF5" w:rsidR="00196FFE" w:rsidRPr="004D2C0C" w:rsidRDefault="00A20090" w:rsidP="00B80459">
      <w:pPr>
        <w:spacing w:line="240" w:lineRule="auto"/>
        <w:ind w:left="599" w:hangingChars="214" w:hanging="599"/>
        <w:jc w:val="both"/>
        <w:rPr>
          <w:rFonts w:eastAsia="標楷體"/>
          <w:sz w:val="28"/>
          <w:szCs w:val="28"/>
        </w:rPr>
      </w:pPr>
      <w:r w:rsidRPr="004D2C0C">
        <w:rPr>
          <w:rFonts w:eastAsia="標楷體" w:hint="eastAsia"/>
          <w:sz w:val="28"/>
          <w:szCs w:val="28"/>
        </w:rPr>
        <w:t xml:space="preserve">       </w:t>
      </w:r>
      <w:r w:rsidR="004D77A7" w:rsidRPr="004D2C0C">
        <w:rPr>
          <w:rFonts w:eastAsia="標楷體" w:hint="eastAsia"/>
          <w:sz w:val="28"/>
          <w:szCs w:val="28"/>
        </w:rPr>
        <w:t>評會</w:t>
      </w:r>
      <w:r w:rsidR="00FD56B8" w:rsidRPr="004D2C0C">
        <w:rPr>
          <w:rFonts w:eastAsia="標楷體"/>
          <w:sz w:val="28"/>
          <w:szCs w:val="28"/>
        </w:rPr>
        <w:t>」名義函知申請人審議結果</w:t>
      </w:r>
      <w:r w:rsidR="00196FFE" w:rsidRPr="004D2C0C">
        <w:rPr>
          <w:rFonts w:eastAsia="標楷體"/>
          <w:sz w:val="28"/>
          <w:szCs w:val="28"/>
        </w:rPr>
        <w:t>通知申請人。</w:t>
      </w:r>
    </w:p>
    <w:p w14:paraId="69AA5233" w14:textId="77777777" w:rsidR="00351419" w:rsidRPr="004D2C0C" w:rsidRDefault="001B6987" w:rsidP="00B80459">
      <w:pPr>
        <w:spacing w:line="240" w:lineRule="auto"/>
        <w:ind w:left="599" w:hangingChars="214" w:hanging="599"/>
        <w:jc w:val="both"/>
        <w:rPr>
          <w:rFonts w:eastAsia="標楷體"/>
          <w:sz w:val="28"/>
          <w:szCs w:val="28"/>
        </w:rPr>
      </w:pPr>
      <w:r w:rsidRPr="004D2C0C">
        <w:rPr>
          <w:rFonts w:eastAsia="標楷體" w:hint="eastAsia"/>
          <w:sz w:val="28"/>
          <w:szCs w:val="28"/>
        </w:rPr>
        <w:t>第</w:t>
      </w:r>
      <w:r w:rsidR="00B42FB9" w:rsidRPr="004D2C0C">
        <w:rPr>
          <w:rFonts w:eastAsia="標楷體" w:hint="eastAsia"/>
          <w:sz w:val="28"/>
          <w:szCs w:val="28"/>
        </w:rPr>
        <w:t>六</w:t>
      </w:r>
      <w:r w:rsidRPr="004D2C0C">
        <w:rPr>
          <w:rFonts w:eastAsia="標楷體" w:hint="eastAsia"/>
          <w:sz w:val="28"/>
          <w:szCs w:val="28"/>
        </w:rPr>
        <w:t>條</w:t>
      </w:r>
      <w:r w:rsidR="00196FFE" w:rsidRPr="004D2C0C">
        <w:rPr>
          <w:rFonts w:eastAsia="標楷體"/>
          <w:sz w:val="28"/>
          <w:szCs w:val="28"/>
        </w:rPr>
        <w:t>、若申請人對系</w:t>
      </w:r>
      <w:r w:rsidR="00173A66" w:rsidRPr="004D2C0C">
        <w:rPr>
          <w:rFonts w:eastAsia="標楷體"/>
          <w:sz w:val="28"/>
          <w:szCs w:val="28"/>
        </w:rPr>
        <w:t>教</w:t>
      </w:r>
      <w:r w:rsidR="00196FFE" w:rsidRPr="004D2C0C">
        <w:rPr>
          <w:rFonts w:eastAsia="標楷體"/>
          <w:sz w:val="28"/>
          <w:szCs w:val="28"/>
        </w:rPr>
        <w:t>評會之決議有異議者，可</w:t>
      </w:r>
      <w:r w:rsidR="00321652" w:rsidRPr="004D2C0C">
        <w:rPr>
          <w:rFonts w:eastAsia="標楷體"/>
          <w:sz w:val="28"/>
          <w:szCs w:val="28"/>
        </w:rPr>
        <w:t>依「輔仁大學教師升</w:t>
      </w:r>
    </w:p>
    <w:p w14:paraId="46204F56" w14:textId="77777777" w:rsidR="00196FFE" w:rsidRPr="004D2C0C" w:rsidRDefault="00351419" w:rsidP="00B80459">
      <w:pPr>
        <w:spacing w:line="240" w:lineRule="auto"/>
        <w:ind w:left="599" w:hangingChars="214" w:hanging="599"/>
        <w:jc w:val="both"/>
        <w:rPr>
          <w:rFonts w:eastAsia="標楷體"/>
          <w:sz w:val="28"/>
          <w:szCs w:val="28"/>
        </w:rPr>
      </w:pPr>
      <w:r w:rsidRPr="004D2C0C">
        <w:rPr>
          <w:rFonts w:eastAsia="標楷體" w:hint="eastAsia"/>
          <w:sz w:val="28"/>
          <w:szCs w:val="28"/>
        </w:rPr>
        <w:t xml:space="preserve">       </w:t>
      </w:r>
      <w:r w:rsidR="00321652" w:rsidRPr="004D2C0C">
        <w:rPr>
          <w:rFonts w:eastAsia="標楷體"/>
          <w:sz w:val="28"/>
          <w:szCs w:val="28"/>
        </w:rPr>
        <w:t>等辦法」</w:t>
      </w:r>
      <w:r w:rsidR="004D77A7" w:rsidRPr="004D2C0C">
        <w:rPr>
          <w:rFonts w:eastAsia="標楷體" w:hint="eastAsia"/>
          <w:sz w:val="28"/>
          <w:szCs w:val="28"/>
        </w:rPr>
        <w:t>第六條規定</w:t>
      </w:r>
      <w:r w:rsidR="00321652" w:rsidRPr="004D2C0C">
        <w:rPr>
          <w:rFonts w:eastAsia="標楷體"/>
          <w:sz w:val="28"/>
          <w:szCs w:val="28"/>
        </w:rPr>
        <w:t>提出申訴</w:t>
      </w:r>
      <w:r w:rsidR="00196FFE" w:rsidRPr="004D2C0C">
        <w:rPr>
          <w:rFonts w:eastAsia="標楷體"/>
          <w:sz w:val="28"/>
          <w:szCs w:val="28"/>
        </w:rPr>
        <w:t>。</w:t>
      </w:r>
    </w:p>
    <w:p w14:paraId="609063CB" w14:textId="77777777" w:rsidR="00351419" w:rsidRPr="004D2C0C" w:rsidRDefault="001B6987" w:rsidP="00B80459">
      <w:pPr>
        <w:spacing w:line="240" w:lineRule="auto"/>
        <w:ind w:left="599" w:hangingChars="214" w:hanging="599"/>
        <w:jc w:val="both"/>
        <w:rPr>
          <w:rFonts w:eastAsia="標楷體"/>
          <w:sz w:val="28"/>
          <w:szCs w:val="28"/>
        </w:rPr>
      </w:pPr>
      <w:r w:rsidRPr="004D2C0C">
        <w:rPr>
          <w:rFonts w:eastAsia="標楷體" w:hint="eastAsia"/>
          <w:sz w:val="28"/>
          <w:szCs w:val="28"/>
        </w:rPr>
        <w:t>第</w:t>
      </w:r>
      <w:r w:rsidR="00B42FB9" w:rsidRPr="004D2C0C">
        <w:rPr>
          <w:rFonts w:eastAsia="標楷體" w:hint="eastAsia"/>
          <w:sz w:val="28"/>
          <w:szCs w:val="28"/>
        </w:rPr>
        <w:t>七</w:t>
      </w:r>
      <w:r w:rsidRPr="004D2C0C">
        <w:rPr>
          <w:rFonts w:eastAsia="標楷體" w:hint="eastAsia"/>
          <w:sz w:val="28"/>
          <w:szCs w:val="28"/>
        </w:rPr>
        <w:t>條</w:t>
      </w:r>
      <w:r w:rsidR="00196FFE" w:rsidRPr="004D2C0C">
        <w:rPr>
          <w:rFonts w:eastAsia="標楷體"/>
          <w:sz w:val="28"/>
          <w:szCs w:val="28"/>
        </w:rPr>
        <w:t>、本</w:t>
      </w:r>
      <w:r w:rsidR="00AB1840" w:rsidRPr="004D2C0C">
        <w:rPr>
          <w:rFonts w:eastAsia="標楷體"/>
          <w:sz w:val="28"/>
          <w:szCs w:val="28"/>
        </w:rPr>
        <w:t>辦法</w:t>
      </w:r>
      <w:r w:rsidR="00196FFE" w:rsidRPr="004D2C0C">
        <w:rPr>
          <w:rFonts w:eastAsia="標楷體"/>
          <w:sz w:val="28"/>
          <w:szCs w:val="28"/>
        </w:rPr>
        <w:t>經系教評會</w:t>
      </w:r>
      <w:r w:rsidR="00645B25" w:rsidRPr="004D2C0C">
        <w:rPr>
          <w:rFonts w:eastAsia="標楷體"/>
          <w:sz w:val="28"/>
          <w:szCs w:val="28"/>
        </w:rPr>
        <w:t>及院教評</w:t>
      </w:r>
      <w:r w:rsidR="00AC2AB8" w:rsidRPr="004D2C0C">
        <w:rPr>
          <w:rFonts w:eastAsia="標楷體"/>
          <w:sz w:val="28"/>
          <w:szCs w:val="28"/>
        </w:rPr>
        <w:t>會</w:t>
      </w:r>
      <w:r w:rsidR="00645B25" w:rsidRPr="004D2C0C">
        <w:rPr>
          <w:rFonts w:eastAsia="標楷體"/>
          <w:sz w:val="28"/>
          <w:szCs w:val="28"/>
        </w:rPr>
        <w:t>會</w:t>
      </w:r>
      <w:r w:rsidR="00AC2AB8" w:rsidRPr="004D2C0C">
        <w:rPr>
          <w:rFonts w:eastAsia="標楷體"/>
          <w:sz w:val="28"/>
          <w:szCs w:val="28"/>
        </w:rPr>
        <w:t>議</w:t>
      </w:r>
      <w:r w:rsidR="00645B25" w:rsidRPr="004D2C0C">
        <w:rPr>
          <w:rFonts w:eastAsia="標楷體"/>
          <w:sz w:val="28"/>
          <w:szCs w:val="28"/>
        </w:rPr>
        <w:t>通過</w:t>
      </w:r>
      <w:r w:rsidR="00196FFE" w:rsidRPr="004D2C0C">
        <w:rPr>
          <w:rFonts w:eastAsia="標楷體"/>
          <w:sz w:val="28"/>
          <w:szCs w:val="28"/>
        </w:rPr>
        <w:t>，</w:t>
      </w:r>
      <w:proofErr w:type="gramStart"/>
      <w:r w:rsidR="00FB64C8" w:rsidRPr="004D2C0C">
        <w:rPr>
          <w:rFonts w:eastAsia="標楷體" w:hint="eastAsia"/>
          <w:sz w:val="28"/>
          <w:szCs w:val="28"/>
        </w:rPr>
        <w:t>送校教師</w:t>
      </w:r>
      <w:proofErr w:type="gramEnd"/>
      <w:r w:rsidR="00FB64C8" w:rsidRPr="004D2C0C">
        <w:rPr>
          <w:rFonts w:eastAsia="標楷體" w:hint="eastAsia"/>
          <w:sz w:val="28"/>
          <w:szCs w:val="28"/>
        </w:rPr>
        <w:t>評審委員會</w:t>
      </w:r>
    </w:p>
    <w:p w14:paraId="1E513C83" w14:textId="77777777" w:rsidR="00196FFE" w:rsidRPr="004D2C0C" w:rsidRDefault="00351419" w:rsidP="00B80459">
      <w:pPr>
        <w:spacing w:line="240" w:lineRule="auto"/>
        <w:ind w:left="599" w:hangingChars="214" w:hanging="599"/>
        <w:jc w:val="both"/>
        <w:rPr>
          <w:rFonts w:eastAsia="標楷體"/>
          <w:sz w:val="28"/>
          <w:szCs w:val="28"/>
        </w:rPr>
      </w:pPr>
      <w:r w:rsidRPr="004D2C0C">
        <w:rPr>
          <w:rFonts w:eastAsia="標楷體" w:hint="eastAsia"/>
          <w:sz w:val="28"/>
          <w:szCs w:val="28"/>
        </w:rPr>
        <w:t xml:space="preserve">       </w:t>
      </w:r>
      <w:r w:rsidR="00FB64C8" w:rsidRPr="004D2C0C">
        <w:rPr>
          <w:rFonts w:eastAsia="標楷體" w:hint="eastAsia"/>
          <w:sz w:val="28"/>
          <w:szCs w:val="28"/>
        </w:rPr>
        <w:t>核備，</w:t>
      </w:r>
      <w:r w:rsidR="00AC2AB8" w:rsidRPr="004D2C0C">
        <w:rPr>
          <w:rFonts w:eastAsia="標楷體"/>
          <w:sz w:val="28"/>
          <w:szCs w:val="28"/>
        </w:rPr>
        <w:t>報請校長核定後公布施行</w:t>
      </w:r>
      <w:r w:rsidR="007B7C41" w:rsidRPr="004D2C0C">
        <w:rPr>
          <w:rFonts w:eastAsia="標楷體"/>
          <w:sz w:val="28"/>
          <w:szCs w:val="28"/>
        </w:rPr>
        <w:t>。</w:t>
      </w:r>
      <w:r w:rsidR="00196FFE" w:rsidRPr="004D2C0C">
        <w:rPr>
          <w:rFonts w:eastAsia="標楷體"/>
          <w:sz w:val="28"/>
          <w:szCs w:val="28"/>
        </w:rPr>
        <w:t>修正時亦同。</w:t>
      </w:r>
    </w:p>
    <w:p w14:paraId="2D8B384B" w14:textId="03BC8083" w:rsidR="00196FFE" w:rsidRDefault="00196FFE" w:rsidP="00196FFE">
      <w:pPr>
        <w:ind w:left="960" w:hangingChars="300" w:hanging="960"/>
        <w:jc w:val="both"/>
        <w:rPr>
          <w:rFonts w:eastAsia="標楷體"/>
          <w:sz w:val="32"/>
          <w:szCs w:val="32"/>
        </w:rPr>
      </w:pPr>
    </w:p>
    <w:p w14:paraId="719ADC2E" w14:textId="77777777" w:rsidR="004D2C0C" w:rsidRPr="004D2C0C" w:rsidRDefault="004D2C0C" w:rsidP="00196FFE">
      <w:pPr>
        <w:ind w:left="960" w:hangingChars="300" w:hanging="960"/>
        <w:jc w:val="both"/>
        <w:rPr>
          <w:rFonts w:eastAsia="標楷體"/>
          <w:sz w:val="32"/>
          <w:szCs w:val="32"/>
        </w:rPr>
      </w:pPr>
    </w:p>
    <w:p w14:paraId="50FB72C2" w14:textId="77777777" w:rsidR="00196FFE" w:rsidRPr="004D2C0C" w:rsidRDefault="00196FFE" w:rsidP="00A014D6">
      <w:pPr>
        <w:spacing w:line="500" w:lineRule="atLeast"/>
        <w:jc w:val="both"/>
        <w:rPr>
          <w:rFonts w:eastAsia="標楷體"/>
        </w:rPr>
      </w:pPr>
    </w:p>
    <w:p w14:paraId="596E4A53" w14:textId="77777777" w:rsidR="00A014D6" w:rsidRPr="004D2C0C" w:rsidRDefault="00A014D6" w:rsidP="00A014D6">
      <w:pPr>
        <w:spacing w:line="500" w:lineRule="atLeast"/>
        <w:jc w:val="both"/>
        <w:rPr>
          <w:rFonts w:eastAsia="標楷體"/>
        </w:rPr>
      </w:pPr>
    </w:p>
    <w:p w14:paraId="772647C9" w14:textId="77777777" w:rsidR="00BD1098" w:rsidRPr="004D2C0C" w:rsidRDefault="00BD1098" w:rsidP="00A014D6">
      <w:pPr>
        <w:spacing w:line="500" w:lineRule="atLeast"/>
        <w:jc w:val="both"/>
        <w:rPr>
          <w:rFonts w:eastAsia="標楷體"/>
        </w:rPr>
      </w:pPr>
    </w:p>
    <w:p w14:paraId="129CF0F8" w14:textId="77777777" w:rsidR="00BD1098" w:rsidRPr="004D2C0C" w:rsidRDefault="00BD1098" w:rsidP="00A014D6">
      <w:pPr>
        <w:spacing w:line="500" w:lineRule="atLeast"/>
        <w:jc w:val="both"/>
        <w:rPr>
          <w:rFonts w:eastAsia="標楷體"/>
        </w:rPr>
      </w:pPr>
    </w:p>
    <w:p w14:paraId="29D512D1" w14:textId="77777777" w:rsidR="00453414" w:rsidRPr="004D2C0C" w:rsidRDefault="00453414" w:rsidP="00A014D6">
      <w:pPr>
        <w:spacing w:line="500" w:lineRule="atLeast"/>
        <w:jc w:val="both"/>
        <w:rPr>
          <w:rFonts w:eastAsia="標楷體"/>
        </w:rPr>
      </w:pPr>
    </w:p>
    <w:p w14:paraId="6E3FA2A8" w14:textId="77777777" w:rsidR="00200046" w:rsidRPr="004D2C0C" w:rsidRDefault="00200046" w:rsidP="00A014D6">
      <w:pPr>
        <w:spacing w:line="500" w:lineRule="atLeast"/>
        <w:jc w:val="both"/>
        <w:rPr>
          <w:rFonts w:eastAsia="標楷體"/>
        </w:rPr>
      </w:pPr>
    </w:p>
    <w:p w14:paraId="1A4FF2DB" w14:textId="77777777" w:rsidR="00453414" w:rsidRPr="004D2C0C" w:rsidRDefault="00453414" w:rsidP="00A014D6">
      <w:pPr>
        <w:spacing w:line="500" w:lineRule="atLeast"/>
        <w:jc w:val="both"/>
        <w:rPr>
          <w:rFonts w:eastAsia="標楷體"/>
        </w:rPr>
      </w:pPr>
    </w:p>
    <w:p w14:paraId="13097283" w14:textId="77777777" w:rsidR="00A014D6" w:rsidRPr="004D2C0C" w:rsidRDefault="00A014D6" w:rsidP="00A014D6">
      <w:pPr>
        <w:adjustRightInd/>
        <w:spacing w:line="240" w:lineRule="auto"/>
        <w:textAlignment w:val="auto"/>
        <w:rPr>
          <w:rFonts w:ascii="標楷體" w:eastAsia="標楷體" w:hAnsi="標楷體"/>
          <w:b/>
          <w:kern w:val="2"/>
          <w:szCs w:val="24"/>
        </w:rPr>
      </w:pPr>
      <w:r w:rsidRPr="004D2C0C">
        <w:rPr>
          <w:rFonts w:ascii="標楷體" w:eastAsia="標楷體" w:hAnsi="標楷體" w:hint="eastAsia"/>
          <w:b/>
          <w:kern w:val="2"/>
          <w:szCs w:val="24"/>
        </w:rPr>
        <w:t>修訂對照表</w:t>
      </w:r>
    </w:p>
    <w:tbl>
      <w:tblPr>
        <w:tblStyle w:val="1"/>
        <w:tblW w:w="10080" w:type="dxa"/>
        <w:tblInd w:w="-783" w:type="dxa"/>
        <w:tblLook w:val="01E0" w:firstRow="1" w:lastRow="1" w:firstColumn="1" w:lastColumn="1" w:noHBand="0" w:noVBand="0"/>
      </w:tblPr>
      <w:tblGrid>
        <w:gridCol w:w="1260"/>
        <w:gridCol w:w="3420"/>
        <w:gridCol w:w="3420"/>
        <w:gridCol w:w="1980"/>
      </w:tblGrid>
      <w:tr w:rsidR="00A014D6" w:rsidRPr="004D2C0C" w14:paraId="37524C71" w14:textId="77777777" w:rsidTr="00B7740E">
        <w:trPr>
          <w:trHeight w:val="537"/>
        </w:trPr>
        <w:tc>
          <w:tcPr>
            <w:tcW w:w="1260" w:type="dxa"/>
            <w:tcBorders>
              <w:top w:val="single" w:sz="4" w:space="0" w:color="auto"/>
              <w:left w:val="single" w:sz="4" w:space="0" w:color="auto"/>
              <w:bottom w:val="single" w:sz="4" w:space="0" w:color="auto"/>
              <w:right w:val="single" w:sz="4" w:space="0" w:color="auto"/>
            </w:tcBorders>
            <w:vAlign w:val="center"/>
            <w:hideMark/>
          </w:tcPr>
          <w:p w14:paraId="6C7AD697" w14:textId="77777777" w:rsidR="00A014D6" w:rsidRPr="004D2C0C" w:rsidRDefault="00A014D6" w:rsidP="00A014D6">
            <w:pPr>
              <w:adjustRightInd/>
              <w:spacing w:line="300" w:lineRule="exact"/>
              <w:jc w:val="center"/>
              <w:textAlignment w:val="auto"/>
              <w:rPr>
                <w:rFonts w:ascii="標楷體" w:eastAsia="標楷體" w:hAnsi="標楷體"/>
                <w:sz w:val="20"/>
                <w:szCs w:val="24"/>
              </w:rPr>
            </w:pPr>
            <w:r w:rsidRPr="004D2C0C">
              <w:rPr>
                <w:rFonts w:ascii="標楷體" w:eastAsia="標楷體" w:hAnsi="標楷體" w:hint="eastAsia"/>
                <w:sz w:val="20"/>
                <w:szCs w:val="24"/>
              </w:rPr>
              <w:t>單　位</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F87583D" w14:textId="77777777" w:rsidR="00A014D6" w:rsidRPr="004D2C0C" w:rsidRDefault="00A014D6" w:rsidP="00A014D6">
            <w:pPr>
              <w:adjustRightInd/>
              <w:spacing w:line="300" w:lineRule="exact"/>
              <w:jc w:val="center"/>
              <w:textAlignment w:val="auto"/>
              <w:rPr>
                <w:rFonts w:ascii="標楷體" w:eastAsia="標楷體" w:hAnsi="標楷體"/>
                <w:sz w:val="20"/>
                <w:szCs w:val="24"/>
              </w:rPr>
            </w:pPr>
            <w:r w:rsidRPr="004D2C0C">
              <w:rPr>
                <w:rFonts w:ascii="標楷體" w:eastAsia="標楷體" w:hAnsi="標楷體" w:hint="eastAsia"/>
                <w:sz w:val="20"/>
                <w:szCs w:val="24"/>
              </w:rPr>
              <w:t>條正後辦法名稱及條文</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650FFE4" w14:textId="77777777" w:rsidR="00A014D6" w:rsidRPr="004D2C0C" w:rsidRDefault="00A014D6" w:rsidP="00A014D6">
            <w:pPr>
              <w:adjustRightInd/>
              <w:spacing w:line="300" w:lineRule="exact"/>
              <w:jc w:val="center"/>
              <w:textAlignment w:val="auto"/>
              <w:rPr>
                <w:rFonts w:ascii="標楷體" w:eastAsia="標楷體" w:hAnsi="標楷體"/>
                <w:sz w:val="20"/>
                <w:szCs w:val="24"/>
              </w:rPr>
            </w:pPr>
            <w:r w:rsidRPr="004D2C0C">
              <w:rPr>
                <w:rFonts w:ascii="標楷體" w:eastAsia="標楷體" w:hAnsi="標楷體" w:hint="eastAsia"/>
                <w:sz w:val="20"/>
                <w:szCs w:val="24"/>
              </w:rPr>
              <w:t>原辦法名稱及條文</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C759E9A" w14:textId="77777777" w:rsidR="00A014D6" w:rsidRPr="004D2C0C" w:rsidRDefault="00A014D6" w:rsidP="00A014D6">
            <w:pPr>
              <w:adjustRightInd/>
              <w:spacing w:line="300" w:lineRule="exact"/>
              <w:jc w:val="center"/>
              <w:textAlignment w:val="auto"/>
              <w:rPr>
                <w:rFonts w:ascii="標楷體" w:eastAsia="標楷體" w:hAnsi="標楷體"/>
                <w:sz w:val="20"/>
                <w:szCs w:val="24"/>
              </w:rPr>
            </w:pPr>
            <w:r w:rsidRPr="004D2C0C">
              <w:rPr>
                <w:rFonts w:ascii="標楷體" w:eastAsia="標楷體" w:hAnsi="標楷體" w:hint="eastAsia"/>
                <w:sz w:val="20"/>
                <w:szCs w:val="24"/>
              </w:rPr>
              <w:t>說明</w:t>
            </w:r>
          </w:p>
        </w:tc>
      </w:tr>
      <w:tr w:rsidR="00351419" w:rsidRPr="004D2C0C" w14:paraId="22D2F8F6" w14:textId="77777777" w:rsidTr="00B7740E">
        <w:tc>
          <w:tcPr>
            <w:tcW w:w="1260" w:type="dxa"/>
            <w:tcBorders>
              <w:top w:val="single" w:sz="4" w:space="0" w:color="auto"/>
              <w:left w:val="single" w:sz="4" w:space="0" w:color="auto"/>
              <w:bottom w:val="single" w:sz="4" w:space="0" w:color="auto"/>
              <w:right w:val="single" w:sz="4" w:space="0" w:color="auto"/>
            </w:tcBorders>
          </w:tcPr>
          <w:p w14:paraId="6B4B645D" w14:textId="77777777" w:rsidR="00351419" w:rsidRPr="004D2C0C" w:rsidRDefault="00351419" w:rsidP="007F64FE">
            <w:pPr>
              <w:adjustRightInd/>
              <w:spacing w:line="240" w:lineRule="auto"/>
              <w:ind w:leftChars="-20" w:left="-48" w:rightChars="-20" w:right="-48"/>
              <w:textAlignment w:val="auto"/>
              <w:rPr>
                <w:rFonts w:ascii="標楷體" w:eastAsia="標楷體" w:hAnsi="標楷體"/>
                <w:szCs w:val="24"/>
              </w:rPr>
            </w:pPr>
            <w:r w:rsidRPr="004D2C0C">
              <w:rPr>
                <w:rFonts w:ascii="標楷體" w:eastAsia="標楷體" w:hAnsi="標楷體" w:hint="eastAsia"/>
                <w:szCs w:val="24"/>
              </w:rPr>
              <w:t>食品科學系</w:t>
            </w:r>
          </w:p>
        </w:tc>
        <w:tc>
          <w:tcPr>
            <w:tcW w:w="3420" w:type="dxa"/>
            <w:tcBorders>
              <w:top w:val="single" w:sz="4" w:space="0" w:color="auto"/>
              <w:left w:val="single" w:sz="4" w:space="0" w:color="auto"/>
              <w:bottom w:val="single" w:sz="4" w:space="0" w:color="auto"/>
              <w:right w:val="single" w:sz="4" w:space="0" w:color="auto"/>
            </w:tcBorders>
          </w:tcPr>
          <w:p w14:paraId="46563168" w14:textId="77777777" w:rsidR="00047701" w:rsidRPr="004D2C0C" w:rsidRDefault="00047701" w:rsidP="00047701">
            <w:pPr>
              <w:spacing w:line="240" w:lineRule="auto"/>
              <w:ind w:left="524" w:hangingChars="187" w:hanging="524"/>
              <w:rPr>
                <w:rFonts w:eastAsia="標楷體"/>
                <w:sz w:val="28"/>
                <w:szCs w:val="28"/>
              </w:rPr>
            </w:pPr>
            <w:r w:rsidRPr="004D2C0C">
              <w:rPr>
                <w:rFonts w:eastAsia="標楷體" w:hint="eastAsia"/>
                <w:sz w:val="28"/>
                <w:szCs w:val="28"/>
              </w:rPr>
              <w:t>第一條、</w:t>
            </w:r>
            <w:r w:rsidRPr="004D2C0C">
              <w:rPr>
                <w:rFonts w:eastAsia="標楷體"/>
                <w:sz w:val="28"/>
                <w:szCs w:val="28"/>
              </w:rPr>
              <w:t>…</w:t>
            </w:r>
          </w:p>
          <w:p w14:paraId="73B232BA" w14:textId="77777777" w:rsidR="00047701" w:rsidRPr="004D2C0C" w:rsidRDefault="00047701" w:rsidP="00047701">
            <w:pPr>
              <w:pStyle w:val="21"/>
              <w:spacing w:after="0" w:line="240" w:lineRule="auto"/>
              <w:ind w:leftChars="-25" w:left="116" w:hangingChars="63" w:hanging="176"/>
              <w:rPr>
                <w:rFonts w:eastAsia="標楷體"/>
                <w:sz w:val="28"/>
                <w:szCs w:val="28"/>
              </w:rPr>
            </w:pPr>
            <w:r w:rsidRPr="004D2C0C">
              <w:rPr>
                <w:rFonts w:eastAsia="標楷體" w:hint="eastAsia"/>
                <w:sz w:val="28"/>
                <w:szCs w:val="28"/>
              </w:rPr>
              <w:t>第二條、</w:t>
            </w:r>
            <w:r w:rsidRPr="004D2C0C">
              <w:rPr>
                <w:rFonts w:eastAsia="標楷體"/>
                <w:sz w:val="28"/>
                <w:szCs w:val="28"/>
              </w:rPr>
              <w:t>…</w:t>
            </w:r>
          </w:p>
        </w:tc>
        <w:tc>
          <w:tcPr>
            <w:tcW w:w="3420" w:type="dxa"/>
            <w:tcBorders>
              <w:top w:val="single" w:sz="4" w:space="0" w:color="auto"/>
              <w:left w:val="single" w:sz="4" w:space="0" w:color="auto"/>
              <w:bottom w:val="single" w:sz="4" w:space="0" w:color="auto"/>
              <w:right w:val="single" w:sz="4" w:space="0" w:color="auto"/>
            </w:tcBorders>
          </w:tcPr>
          <w:p w14:paraId="16510282" w14:textId="77777777" w:rsidR="00047701" w:rsidRPr="004D2C0C" w:rsidRDefault="00047701" w:rsidP="00047701">
            <w:pPr>
              <w:pStyle w:val="21"/>
              <w:spacing w:after="0" w:line="240" w:lineRule="auto"/>
              <w:ind w:leftChars="-25" w:left="116" w:hangingChars="63" w:hanging="176"/>
              <w:rPr>
                <w:rFonts w:eastAsia="標楷體"/>
                <w:sz w:val="28"/>
                <w:szCs w:val="28"/>
              </w:rPr>
            </w:pPr>
            <w:r w:rsidRPr="004D2C0C">
              <w:rPr>
                <w:rFonts w:eastAsia="標楷體" w:hint="eastAsia"/>
                <w:sz w:val="28"/>
                <w:szCs w:val="28"/>
              </w:rPr>
              <w:t>一、</w:t>
            </w:r>
            <w:r w:rsidRPr="004D2C0C">
              <w:rPr>
                <w:rFonts w:eastAsia="標楷體"/>
                <w:sz w:val="28"/>
                <w:szCs w:val="28"/>
              </w:rPr>
              <w:t>…</w:t>
            </w:r>
            <w:proofErr w:type="gramStart"/>
            <w:r w:rsidRPr="004D2C0C">
              <w:rPr>
                <w:rFonts w:eastAsia="標楷體"/>
                <w:sz w:val="28"/>
                <w:szCs w:val="28"/>
              </w:rPr>
              <w:t>…</w:t>
            </w:r>
            <w:proofErr w:type="gramEnd"/>
          </w:p>
          <w:p w14:paraId="3CD9EF4C" w14:textId="77777777" w:rsidR="00047701" w:rsidRPr="004D2C0C" w:rsidRDefault="00047701" w:rsidP="00047701">
            <w:pPr>
              <w:pStyle w:val="21"/>
              <w:spacing w:after="0" w:line="240" w:lineRule="auto"/>
              <w:ind w:leftChars="-25" w:left="116" w:hangingChars="63" w:hanging="176"/>
              <w:rPr>
                <w:rFonts w:eastAsia="標楷體"/>
                <w:sz w:val="28"/>
                <w:szCs w:val="28"/>
              </w:rPr>
            </w:pPr>
            <w:r w:rsidRPr="004D2C0C">
              <w:rPr>
                <w:rFonts w:eastAsia="標楷體" w:hint="eastAsia"/>
                <w:sz w:val="28"/>
                <w:szCs w:val="28"/>
              </w:rPr>
              <w:t>二、</w:t>
            </w:r>
            <w:r w:rsidRPr="004D2C0C">
              <w:rPr>
                <w:rFonts w:eastAsia="標楷體"/>
                <w:sz w:val="28"/>
                <w:szCs w:val="28"/>
              </w:rPr>
              <w:t>…</w:t>
            </w:r>
            <w:proofErr w:type="gramStart"/>
            <w:r w:rsidRPr="004D2C0C">
              <w:rPr>
                <w:rFonts w:eastAsia="標楷體"/>
                <w:sz w:val="28"/>
                <w:szCs w:val="28"/>
              </w:rPr>
              <w:t>…</w:t>
            </w:r>
            <w:proofErr w:type="gramEnd"/>
          </w:p>
          <w:p w14:paraId="0FBE07AF" w14:textId="77777777" w:rsidR="00200046" w:rsidRPr="004D2C0C" w:rsidRDefault="00200046" w:rsidP="00200046">
            <w:pPr>
              <w:spacing w:line="240" w:lineRule="auto"/>
              <w:ind w:left="524" w:hangingChars="187" w:hanging="524"/>
              <w:rPr>
                <w:rFonts w:eastAsia="標楷體"/>
                <w:sz w:val="28"/>
                <w:szCs w:val="28"/>
              </w:rPr>
            </w:pPr>
          </w:p>
        </w:tc>
        <w:tc>
          <w:tcPr>
            <w:tcW w:w="1980" w:type="dxa"/>
            <w:tcBorders>
              <w:top w:val="single" w:sz="4" w:space="0" w:color="auto"/>
              <w:left w:val="single" w:sz="4" w:space="0" w:color="auto"/>
              <w:bottom w:val="single" w:sz="4" w:space="0" w:color="auto"/>
              <w:right w:val="single" w:sz="4" w:space="0" w:color="auto"/>
            </w:tcBorders>
          </w:tcPr>
          <w:p w14:paraId="08398C96" w14:textId="77777777" w:rsidR="00351419" w:rsidRPr="004D2C0C" w:rsidRDefault="00351419" w:rsidP="00AD15A7">
            <w:pPr>
              <w:adjustRightInd/>
              <w:spacing w:line="240" w:lineRule="auto"/>
              <w:ind w:left="-20" w:right="-20"/>
              <w:textAlignment w:val="auto"/>
              <w:rPr>
                <w:rFonts w:ascii="標楷體" w:eastAsia="標楷體" w:hAnsi="標楷體"/>
                <w:color w:val="FF0000"/>
                <w:szCs w:val="24"/>
              </w:rPr>
            </w:pPr>
            <w:r w:rsidRPr="004D2C0C">
              <w:rPr>
                <w:rFonts w:ascii="標楷體" w:eastAsia="標楷體" w:hAnsi="標楷體" w:hint="eastAsia"/>
                <w:color w:val="FF0000"/>
                <w:szCs w:val="24"/>
              </w:rPr>
              <w:t>調整條文之條項表示方式，</w:t>
            </w:r>
            <w:r w:rsidR="005663B4" w:rsidRPr="004D2C0C">
              <w:rPr>
                <w:rFonts w:ascii="標楷體" w:eastAsia="標楷體" w:hAnsi="標楷體" w:hint="eastAsia"/>
                <w:color w:val="FF0000"/>
                <w:szCs w:val="24"/>
              </w:rPr>
              <w:t>本辦法</w:t>
            </w:r>
            <w:r w:rsidR="00200046" w:rsidRPr="004D2C0C">
              <w:rPr>
                <w:rFonts w:ascii="標楷體" w:eastAsia="標楷體" w:hAnsi="標楷體" w:hint="eastAsia"/>
                <w:color w:val="FF0000"/>
                <w:szCs w:val="24"/>
              </w:rPr>
              <w:t>後續</w:t>
            </w:r>
            <w:r w:rsidRPr="004D2C0C">
              <w:rPr>
                <w:rFonts w:ascii="標楷體" w:eastAsia="標楷體" w:hAnsi="標楷體" w:hint="eastAsia"/>
                <w:color w:val="FF0000"/>
                <w:szCs w:val="24"/>
              </w:rPr>
              <w:t>各條文</w:t>
            </w:r>
            <w:r w:rsidR="00200046" w:rsidRPr="004D2C0C">
              <w:rPr>
                <w:rFonts w:ascii="標楷體" w:eastAsia="標楷體" w:hAnsi="標楷體" w:hint="eastAsia"/>
                <w:color w:val="FF0000"/>
                <w:szCs w:val="24"/>
              </w:rPr>
              <w:t>均</w:t>
            </w:r>
            <w:r w:rsidRPr="004D2C0C">
              <w:rPr>
                <w:rFonts w:ascii="標楷體" w:eastAsia="標楷體" w:hAnsi="標楷體" w:hint="eastAsia"/>
                <w:color w:val="FF0000"/>
                <w:szCs w:val="24"/>
              </w:rPr>
              <w:t>依序調整。</w:t>
            </w:r>
          </w:p>
        </w:tc>
      </w:tr>
      <w:tr w:rsidR="009958DB" w:rsidRPr="004D2C0C" w14:paraId="2340884C" w14:textId="77777777" w:rsidTr="00B7740E">
        <w:tc>
          <w:tcPr>
            <w:tcW w:w="1260" w:type="dxa"/>
            <w:tcBorders>
              <w:top w:val="single" w:sz="4" w:space="0" w:color="auto"/>
              <w:left w:val="single" w:sz="4" w:space="0" w:color="auto"/>
              <w:bottom w:val="single" w:sz="4" w:space="0" w:color="auto"/>
              <w:right w:val="single" w:sz="4" w:space="0" w:color="auto"/>
            </w:tcBorders>
          </w:tcPr>
          <w:p w14:paraId="12A5BE20" w14:textId="77777777" w:rsidR="00A014D6" w:rsidRPr="004D2C0C" w:rsidRDefault="00A014D6" w:rsidP="007F64FE">
            <w:pPr>
              <w:adjustRightInd/>
              <w:spacing w:line="240" w:lineRule="auto"/>
              <w:ind w:leftChars="-20" w:left="-48" w:rightChars="-20" w:right="-48"/>
              <w:textAlignment w:val="auto"/>
              <w:rPr>
                <w:rFonts w:ascii="標楷體" w:eastAsia="標楷體" w:hAnsi="標楷體"/>
                <w:color w:val="FF0000"/>
                <w:szCs w:val="24"/>
              </w:rPr>
            </w:pPr>
          </w:p>
        </w:tc>
        <w:tc>
          <w:tcPr>
            <w:tcW w:w="3420" w:type="dxa"/>
            <w:tcBorders>
              <w:top w:val="single" w:sz="4" w:space="0" w:color="auto"/>
              <w:left w:val="single" w:sz="4" w:space="0" w:color="auto"/>
              <w:bottom w:val="single" w:sz="4" w:space="0" w:color="auto"/>
              <w:right w:val="single" w:sz="4" w:space="0" w:color="auto"/>
            </w:tcBorders>
          </w:tcPr>
          <w:p w14:paraId="7B7B9369" w14:textId="77777777" w:rsidR="00A014D6" w:rsidRPr="004D2C0C" w:rsidRDefault="00047701" w:rsidP="007F64FE">
            <w:pPr>
              <w:pStyle w:val="21"/>
              <w:spacing w:after="0" w:line="240" w:lineRule="auto"/>
              <w:ind w:leftChars="-25" w:left="116" w:hangingChars="63" w:hanging="176"/>
              <w:rPr>
                <w:rFonts w:ascii="標楷體" w:eastAsia="標楷體" w:hAnsi="標楷體"/>
                <w:color w:val="FF0000"/>
                <w:szCs w:val="24"/>
              </w:rPr>
            </w:pPr>
            <w:r w:rsidRPr="004D2C0C">
              <w:rPr>
                <w:rFonts w:eastAsia="標楷體" w:hint="eastAsia"/>
                <w:sz w:val="28"/>
                <w:szCs w:val="28"/>
              </w:rPr>
              <w:t>第二條</w:t>
            </w:r>
            <w:r w:rsidR="006C6743" w:rsidRPr="004D2C0C">
              <w:rPr>
                <w:rFonts w:eastAsia="標楷體"/>
                <w:sz w:val="28"/>
                <w:szCs w:val="28"/>
              </w:rPr>
              <w:t>、申請升等</w:t>
            </w:r>
            <w:r w:rsidR="0094586F" w:rsidRPr="004D2C0C">
              <w:rPr>
                <w:rFonts w:eastAsia="標楷體"/>
                <w:sz w:val="28"/>
                <w:szCs w:val="28"/>
              </w:rPr>
              <w:t>…</w:t>
            </w:r>
            <w:proofErr w:type="gramStart"/>
            <w:r w:rsidR="0094586F" w:rsidRPr="004D2C0C">
              <w:rPr>
                <w:rFonts w:eastAsia="標楷體"/>
                <w:sz w:val="28"/>
                <w:szCs w:val="28"/>
              </w:rPr>
              <w:t>…</w:t>
            </w:r>
            <w:proofErr w:type="gramEnd"/>
            <w:r w:rsidR="006C6743" w:rsidRPr="004D2C0C">
              <w:rPr>
                <w:rFonts w:eastAsia="標楷體"/>
                <w:sz w:val="28"/>
                <w:szCs w:val="28"/>
              </w:rPr>
              <w:t>逾時不予受理。</w:t>
            </w:r>
            <w:r w:rsidR="006C6743" w:rsidRPr="004D2C0C">
              <w:rPr>
                <w:rFonts w:eastAsia="標楷體" w:hint="eastAsia"/>
                <w:color w:val="FF0000"/>
                <w:sz w:val="28"/>
                <w:szCs w:val="28"/>
              </w:rPr>
              <w:t>申請資格、</w:t>
            </w:r>
            <w:r w:rsidR="006C6743" w:rsidRPr="004D2C0C">
              <w:rPr>
                <w:rFonts w:eastAsia="標楷體"/>
                <w:sz w:val="28"/>
                <w:szCs w:val="28"/>
              </w:rPr>
              <w:t>應繳資料</w:t>
            </w:r>
            <w:r w:rsidR="006C6743" w:rsidRPr="004D2C0C">
              <w:rPr>
                <w:rFonts w:eastAsia="標楷體" w:hint="eastAsia"/>
                <w:color w:val="FF0000"/>
                <w:sz w:val="28"/>
                <w:szCs w:val="28"/>
              </w:rPr>
              <w:t>項目及件</w:t>
            </w:r>
            <w:proofErr w:type="gramStart"/>
            <w:r w:rsidR="006C6743" w:rsidRPr="004D2C0C">
              <w:rPr>
                <w:rFonts w:eastAsia="標楷體" w:hint="eastAsia"/>
                <w:color w:val="FF0000"/>
                <w:sz w:val="28"/>
                <w:szCs w:val="28"/>
              </w:rPr>
              <w:t>數</w:t>
            </w:r>
            <w:r w:rsidR="006C6743" w:rsidRPr="004D2C0C">
              <w:rPr>
                <w:rFonts w:eastAsia="標楷體" w:hint="eastAsia"/>
                <w:sz w:val="28"/>
                <w:szCs w:val="28"/>
              </w:rPr>
              <w:t>均</w:t>
            </w:r>
            <w:r w:rsidR="006C6743" w:rsidRPr="004D2C0C">
              <w:rPr>
                <w:rFonts w:eastAsia="標楷體"/>
                <w:sz w:val="28"/>
                <w:szCs w:val="28"/>
              </w:rPr>
              <w:t>依輔仁大學</w:t>
            </w:r>
            <w:proofErr w:type="gramEnd"/>
            <w:r w:rsidR="006C6743" w:rsidRPr="004D2C0C">
              <w:rPr>
                <w:rFonts w:eastAsia="標楷體"/>
                <w:sz w:val="28"/>
                <w:szCs w:val="28"/>
              </w:rPr>
              <w:t>教師升等辦法規定辦理。</w:t>
            </w:r>
          </w:p>
        </w:tc>
        <w:tc>
          <w:tcPr>
            <w:tcW w:w="3420" w:type="dxa"/>
            <w:tcBorders>
              <w:top w:val="single" w:sz="4" w:space="0" w:color="auto"/>
              <w:left w:val="single" w:sz="4" w:space="0" w:color="auto"/>
              <w:bottom w:val="single" w:sz="4" w:space="0" w:color="auto"/>
              <w:right w:val="single" w:sz="4" w:space="0" w:color="auto"/>
            </w:tcBorders>
          </w:tcPr>
          <w:p w14:paraId="4ED30F6A" w14:textId="77777777" w:rsidR="006C6743" w:rsidRPr="004D2C0C" w:rsidRDefault="006C6743" w:rsidP="006C6743">
            <w:pPr>
              <w:spacing w:line="240" w:lineRule="auto"/>
              <w:ind w:left="524" w:hangingChars="187" w:hanging="524"/>
              <w:rPr>
                <w:rFonts w:eastAsia="標楷體"/>
                <w:sz w:val="28"/>
                <w:szCs w:val="28"/>
              </w:rPr>
            </w:pPr>
            <w:r w:rsidRPr="004D2C0C">
              <w:rPr>
                <w:rFonts w:eastAsia="標楷體"/>
                <w:sz w:val="28"/>
                <w:szCs w:val="28"/>
              </w:rPr>
              <w:t>二、申請升等</w:t>
            </w:r>
            <w:r w:rsidR="0094586F" w:rsidRPr="004D2C0C">
              <w:rPr>
                <w:rFonts w:eastAsia="標楷體"/>
                <w:sz w:val="28"/>
                <w:szCs w:val="28"/>
              </w:rPr>
              <w:t>…</w:t>
            </w:r>
            <w:proofErr w:type="gramStart"/>
            <w:r w:rsidR="0094586F" w:rsidRPr="004D2C0C">
              <w:rPr>
                <w:rFonts w:eastAsia="標楷體"/>
                <w:sz w:val="28"/>
                <w:szCs w:val="28"/>
              </w:rPr>
              <w:t>…</w:t>
            </w:r>
            <w:proofErr w:type="gramEnd"/>
            <w:r w:rsidRPr="004D2C0C">
              <w:rPr>
                <w:rFonts w:eastAsia="標楷體"/>
                <w:sz w:val="28"/>
                <w:szCs w:val="28"/>
              </w:rPr>
              <w:t>逾時不予受理。應繳資料依輔仁大學教師升等辦法規定辦理。</w:t>
            </w:r>
          </w:p>
          <w:p w14:paraId="1203417C" w14:textId="77777777" w:rsidR="00A014D6" w:rsidRPr="004D2C0C" w:rsidRDefault="00A014D6" w:rsidP="007F64FE">
            <w:pPr>
              <w:adjustRightInd/>
              <w:snapToGrid w:val="0"/>
              <w:spacing w:line="240" w:lineRule="auto"/>
              <w:textAlignment w:val="auto"/>
              <w:rPr>
                <w:rFonts w:ascii="標楷體" w:eastAsia="標楷體" w:hAnsi="標楷體"/>
                <w:color w:val="FF0000"/>
                <w:szCs w:val="24"/>
              </w:rPr>
            </w:pPr>
          </w:p>
        </w:tc>
        <w:tc>
          <w:tcPr>
            <w:tcW w:w="1980" w:type="dxa"/>
            <w:tcBorders>
              <w:top w:val="single" w:sz="4" w:space="0" w:color="auto"/>
              <w:left w:val="single" w:sz="4" w:space="0" w:color="auto"/>
              <w:bottom w:val="single" w:sz="4" w:space="0" w:color="auto"/>
              <w:right w:val="single" w:sz="4" w:space="0" w:color="auto"/>
            </w:tcBorders>
            <w:hideMark/>
          </w:tcPr>
          <w:p w14:paraId="21F3DBB6" w14:textId="77777777" w:rsidR="00A014D6" w:rsidRPr="004D2C0C" w:rsidRDefault="006C6743" w:rsidP="00AD15A7">
            <w:pPr>
              <w:adjustRightInd/>
              <w:spacing w:line="240" w:lineRule="auto"/>
              <w:ind w:left="-20" w:right="-20"/>
              <w:textAlignment w:val="auto"/>
              <w:rPr>
                <w:rFonts w:ascii="標楷體" w:eastAsia="標楷體" w:hAnsi="標楷體"/>
                <w:color w:val="FF0000"/>
                <w:szCs w:val="24"/>
              </w:rPr>
            </w:pPr>
            <w:r w:rsidRPr="004D2C0C">
              <w:rPr>
                <w:rFonts w:ascii="標楷體" w:eastAsia="標楷體" w:hAnsi="標楷體" w:hint="eastAsia"/>
                <w:color w:val="FF0000"/>
                <w:szCs w:val="24"/>
              </w:rPr>
              <w:t>增加申請資格</w:t>
            </w:r>
            <w:r w:rsidR="000014F9" w:rsidRPr="004D2C0C">
              <w:rPr>
                <w:rFonts w:ascii="標楷體" w:eastAsia="標楷體" w:hAnsi="標楷體" w:hint="eastAsia"/>
                <w:color w:val="FF0000"/>
                <w:szCs w:val="24"/>
              </w:rPr>
              <w:t>及</w:t>
            </w:r>
            <w:r w:rsidRPr="004D2C0C">
              <w:rPr>
                <w:rFonts w:ascii="標楷體" w:eastAsia="標楷體" w:hAnsi="標楷體" w:hint="eastAsia"/>
                <w:color w:val="FF0000"/>
                <w:szCs w:val="24"/>
              </w:rPr>
              <w:t>應繳資料</w:t>
            </w:r>
            <w:r w:rsidR="000014F9" w:rsidRPr="004D2C0C">
              <w:rPr>
                <w:rFonts w:ascii="標楷體" w:eastAsia="標楷體" w:hAnsi="標楷體" w:hint="eastAsia"/>
                <w:color w:val="FF0000"/>
                <w:szCs w:val="24"/>
              </w:rPr>
              <w:t>規範</w:t>
            </w:r>
            <w:r w:rsidR="00296023" w:rsidRPr="004D2C0C">
              <w:rPr>
                <w:rFonts w:ascii="標楷體" w:eastAsia="標楷體" w:hAnsi="標楷體" w:hint="eastAsia"/>
                <w:color w:val="FF0000"/>
                <w:szCs w:val="24"/>
              </w:rPr>
              <w:t>文字</w:t>
            </w:r>
            <w:r w:rsidR="00E13231" w:rsidRPr="004D2C0C">
              <w:rPr>
                <w:rFonts w:ascii="標楷體" w:eastAsia="標楷體" w:hAnsi="標楷體" w:hint="eastAsia"/>
                <w:color w:val="FF0000"/>
                <w:szCs w:val="24"/>
              </w:rPr>
              <w:t>。</w:t>
            </w:r>
          </w:p>
        </w:tc>
      </w:tr>
      <w:tr w:rsidR="00E13231" w:rsidRPr="004D2C0C" w14:paraId="206767FE" w14:textId="77777777" w:rsidTr="00B7740E">
        <w:tc>
          <w:tcPr>
            <w:tcW w:w="1260" w:type="dxa"/>
            <w:tcBorders>
              <w:top w:val="single" w:sz="4" w:space="0" w:color="auto"/>
              <w:left w:val="single" w:sz="4" w:space="0" w:color="auto"/>
              <w:bottom w:val="single" w:sz="4" w:space="0" w:color="auto"/>
              <w:right w:val="single" w:sz="4" w:space="0" w:color="auto"/>
            </w:tcBorders>
          </w:tcPr>
          <w:p w14:paraId="7DB98168" w14:textId="77777777" w:rsidR="00E13231" w:rsidRPr="004D2C0C" w:rsidRDefault="00E13231" w:rsidP="007F64FE">
            <w:pPr>
              <w:adjustRightInd/>
              <w:spacing w:line="240" w:lineRule="auto"/>
              <w:ind w:leftChars="-20" w:left="-48" w:rightChars="-20" w:right="-48"/>
              <w:textAlignment w:val="auto"/>
              <w:rPr>
                <w:rFonts w:ascii="標楷體" w:eastAsia="標楷體" w:hAnsi="標楷體"/>
                <w:color w:val="FF0000"/>
                <w:szCs w:val="24"/>
              </w:rPr>
            </w:pPr>
          </w:p>
        </w:tc>
        <w:tc>
          <w:tcPr>
            <w:tcW w:w="3420" w:type="dxa"/>
            <w:tcBorders>
              <w:top w:val="single" w:sz="4" w:space="0" w:color="auto"/>
              <w:left w:val="single" w:sz="4" w:space="0" w:color="auto"/>
              <w:bottom w:val="single" w:sz="4" w:space="0" w:color="auto"/>
              <w:right w:val="single" w:sz="4" w:space="0" w:color="auto"/>
            </w:tcBorders>
          </w:tcPr>
          <w:p w14:paraId="50A65CA7" w14:textId="70AD3A78" w:rsidR="00E13231" w:rsidRPr="004D2C0C" w:rsidRDefault="00047701" w:rsidP="00AD15A7">
            <w:pPr>
              <w:pStyle w:val="21"/>
              <w:spacing w:after="0" w:line="240" w:lineRule="auto"/>
              <w:ind w:leftChars="0" w:left="0"/>
              <w:rPr>
                <w:rFonts w:ascii="標楷體" w:eastAsia="標楷體" w:hAnsi="標楷體"/>
                <w:color w:val="FF0000"/>
                <w:szCs w:val="24"/>
              </w:rPr>
            </w:pPr>
            <w:r w:rsidRPr="004D2C0C">
              <w:rPr>
                <w:rFonts w:eastAsia="標楷體" w:hint="eastAsia"/>
                <w:sz w:val="28"/>
                <w:szCs w:val="28"/>
              </w:rPr>
              <w:t>第</w:t>
            </w:r>
            <w:r w:rsidR="006B135C" w:rsidRPr="004D2C0C">
              <w:rPr>
                <w:rFonts w:eastAsia="標楷體"/>
                <w:sz w:val="28"/>
                <w:szCs w:val="28"/>
              </w:rPr>
              <w:t>四</w:t>
            </w:r>
            <w:r w:rsidRPr="004D2C0C">
              <w:rPr>
                <w:rFonts w:eastAsia="標楷體" w:hint="eastAsia"/>
                <w:sz w:val="28"/>
                <w:szCs w:val="28"/>
              </w:rPr>
              <w:t>條</w:t>
            </w:r>
            <w:r w:rsidR="006B135C" w:rsidRPr="004D2C0C">
              <w:rPr>
                <w:rFonts w:eastAsia="標楷體"/>
                <w:sz w:val="28"/>
                <w:szCs w:val="28"/>
              </w:rPr>
              <w:t>、升等申請人之資料審查標準含</w:t>
            </w:r>
            <w:r w:rsidR="004D2C0C" w:rsidRPr="004D2C0C">
              <w:rPr>
                <w:rFonts w:eastAsia="標楷體" w:hint="eastAsia"/>
                <w:color w:val="FF0000"/>
                <w:sz w:val="28"/>
                <w:szCs w:val="28"/>
              </w:rPr>
              <w:t>專業學術表現</w:t>
            </w:r>
            <w:r w:rsidR="006B135C" w:rsidRPr="004D2C0C">
              <w:rPr>
                <w:rFonts w:eastAsia="標楷體"/>
                <w:sz w:val="28"/>
                <w:szCs w:val="28"/>
              </w:rPr>
              <w:t>、教學、</w:t>
            </w:r>
            <w:r w:rsidR="006B135C" w:rsidRPr="004D2C0C">
              <w:rPr>
                <w:rFonts w:eastAsia="標楷體"/>
                <w:color w:val="FF0000"/>
                <w:sz w:val="28"/>
                <w:szCs w:val="28"/>
              </w:rPr>
              <w:t>服務</w:t>
            </w:r>
            <w:r w:rsidR="006B135C" w:rsidRPr="004D2C0C">
              <w:rPr>
                <w:rFonts w:eastAsia="標楷體" w:hint="eastAsia"/>
                <w:color w:val="FF0000"/>
                <w:sz w:val="28"/>
                <w:szCs w:val="28"/>
              </w:rPr>
              <w:t>(</w:t>
            </w:r>
            <w:r w:rsidR="006B135C" w:rsidRPr="004D2C0C">
              <w:rPr>
                <w:rFonts w:eastAsia="標楷體" w:hint="eastAsia"/>
                <w:color w:val="FF0000"/>
                <w:sz w:val="28"/>
                <w:szCs w:val="28"/>
              </w:rPr>
              <w:t>含</w:t>
            </w:r>
            <w:r w:rsidR="006B135C" w:rsidRPr="004D2C0C">
              <w:rPr>
                <w:rFonts w:eastAsia="標楷體"/>
                <w:color w:val="FF0000"/>
                <w:sz w:val="28"/>
                <w:szCs w:val="28"/>
              </w:rPr>
              <w:t>輔導</w:t>
            </w:r>
            <w:r w:rsidR="006B135C" w:rsidRPr="004D2C0C">
              <w:rPr>
                <w:rFonts w:eastAsia="標楷體" w:hint="eastAsia"/>
                <w:color w:val="FF0000"/>
                <w:sz w:val="28"/>
                <w:szCs w:val="28"/>
              </w:rPr>
              <w:t>)</w:t>
            </w:r>
            <w:r w:rsidR="006B135C" w:rsidRPr="004D2C0C">
              <w:rPr>
                <w:rFonts w:eastAsia="標楷體" w:hint="eastAsia"/>
                <w:sz w:val="28"/>
                <w:szCs w:val="28"/>
              </w:rPr>
              <w:t>三</w:t>
            </w:r>
            <w:r w:rsidR="006B135C" w:rsidRPr="004D2C0C">
              <w:rPr>
                <w:rFonts w:eastAsia="標楷體"/>
                <w:sz w:val="28"/>
                <w:szCs w:val="28"/>
              </w:rPr>
              <w:t>項，其所</w:t>
            </w:r>
            <w:proofErr w:type="gramStart"/>
            <w:r w:rsidR="006B135C" w:rsidRPr="004D2C0C">
              <w:rPr>
                <w:rFonts w:eastAsia="標楷體"/>
                <w:sz w:val="28"/>
                <w:szCs w:val="28"/>
              </w:rPr>
              <w:t>佔</w:t>
            </w:r>
            <w:proofErr w:type="gramEnd"/>
            <w:r w:rsidR="006B135C" w:rsidRPr="004D2C0C">
              <w:rPr>
                <w:rFonts w:eastAsia="標楷體"/>
                <w:sz w:val="28"/>
                <w:szCs w:val="28"/>
              </w:rPr>
              <w:t>之比例，升等教授者分別為</w:t>
            </w:r>
            <w:r w:rsidR="004D2C0C" w:rsidRPr="004D2C0C">
              <w:rPr>
                <w:rFonts w:eastAsia="標楷體" w:hint="eastAsia"/>
                <w:color w:val="FF0000"/>
                <w:sz w:val="28"/>
                <w:szCs w:val="28"/>
              </w:rPr>
              <w:t>專業學術表現</w:t>
            </w:r>
            <w:proofErr w:type="gramStart"/>
            <w:r w:rsidR="006B135C" w:rsidRPr="004D2C0C">
              <w:rPr>
                <w:rFonts w:eastAsia="標楷體"/>
                <w:sz w:val="28"/>
                <w:szCs w:val="28"/>
              </w:rPr>
              <w:t>佔</w:t>
            </w:r>
            <w:proofErr w:type="gramEnd"/>
            <w:r w:rsidR="006B135C" w:rsidRPr="004D2C0C">
              <w:rPr>
                <w:rFonts w:eastAsia="標楷體"/>
                <w:sz w:val="28"/>
                <w:szCs w:val="28"/>
              </w:rPr>
              <w:t>70%</w:t>
            </w:r>
            <w:r w:rsidR="006B135C" w:rsidRPr="004D2C0C">
              <w:rPr>
                <w:rFonts w:eastAsia="標楷體"/>
                <w:sz w:val="28"/>
                <w:szCs w:val="28"/>
              </w:rPr>
              <w:t>，教學</w:t>
            </w:r>
            <w:proofErr w:type="gramStart"/>
            <w:r w:rsidR="006B135C" w:rsidRPr="004D2C0C">
              <w:rPr>
                <w:rFonts w:eastAsia="標楷體"/>
                <w:sz w:val="28"/>
                <w:szCs w:val="28"/>
              </w:rPr>
              <w:t>佔</w:t>
            </w:r>
            <w:proofErr w:type="gramEnd"/>
            <w:r w:rsidR="006B135C" w:rsidRPr="004D2C0C">
              <w:rPr>
                <w:rFonts w:eastAsia="標楷體"/>
                <w:sz w:val="28"/>
                <w:szCs w:val="28"/>
              </w:rPr>
              <w:t>20%</w:t>
            </w:r>
            <w:r w:rsidR="006B135C" w:rsidRPr="004D2C0C">
              <w:rPr>
                <w:rFonts w:eastAsia="標楷體"/>
                <w:sz w:val="28"/>
                <w:szCs w:val="28"/>
              </w:rPr>
              <w:t>、</w:t>
            </w:r>
            <w:r w:rsidR="006B135C" w:rsidRPr="004D2C0C">
              <w:rPr>
                <w:rFonts w:eastAsia="標楷體"/>
                <w:color w:val="FF0000"/>
                <w:sz w:val="28"/>
                <w:szCs w:val="28"/>
              </w:rPr>
              <w:t>服務</w:t>
            </w:r>
            <w:r w:rsidR="006B135C" w:rsidRPr="004D2C0C">
              <w:rPr>
                <w:rFonts w:eastAsia="標楷體"/>
                <w:color w:val="FF0000"/>
                <w:sz w:val="28"/>
                <w:szCs w:val="28"/>
              </w:rPr>
              <w:t>(</w:t>
            </w:r>
            <w:r w:rsidR="006B135C" w:rsidRPr="004D2C0C">
              <w:rPr>
                <w:rFonts w:eastAsia="標楷體"/>
                <w:color w:val="FF0000"/>
                <w:sz w:val="28"/>
                <w:szCs w:val="28"/>
              </w:rPr>
              <w:t>含輔導</w:t>
            </w:r>
            <w:r w:rsidR="006B135C" w:rsidRPr="004D2C0C">
              <w:rPr>
                <w:rFonts w:eastAsia="標楷體"/>
                <w:color w:val="FF0000"/>
                <w:sz w:val="28"/>
                <w:szCs w:val="28"/>
              </w:rPr>
              <w:t>)</w:t>
            </w:r>
            <w:proofErr w:type="gramStart"/>
            <w:r w:rsidR="006B135C" w:rsidRPr="004D2C0C">
              <w:rPr>
                <w:rFonts w:eastAsia="標楷體"/>
                <w:sz w:val="28"/>
                <w:szCs w:val="28"/>
              </w:rPr>
              <w:t>佔</w:t>
            </w:r>
            <w:proofErr w:type="gramEnd"/>
            <w:r w:rsidR="006B135C" w:rsidRPr="004D2C0C">
              <w:rPr>
                <w:rFonts w:eastAsia="標楷體"/>
                <w:sz w:val="28"/>
                <w:szCs w:val="28"/>
              </w:rPr>
              <w:t>10%</w:t>
            </w:r>
            <w:r w:rsidR="006B135C" w:rsidRPr="004D2C0C">
              <w:rPr>
                <w:rFonts w:eastAsia="標楷體"/>
                <w:sz w:val="28"/>
                <w:szCs w:val="28"/>
              </w:rPr>
              <w:t>，升等副教授者，分別為</w:t>
            </w:r>
            <w:r w:rsidR="004D2C0C" w:rsidRPr="004D2C0C">
              <w:rPr>
                <w:rFonts w:eastAsia="標楷體" w:hint="eastAsia"/>
                <w:color w:val="FF0000"/>
                <w:sz w:val="28"/>
                <w:szCs w:val="28"/>
              </w:rPr>
              <w:t>專業學術表現</w:t>
            </w:r>
            <w:proofErr w:type="gramStart"/>
            <w:r w:rsidR="006B135C" w:rsidRPr="004D2C0C">
              <w:rPr>
                <w:rFonts w:eastAsia="標楷體"/>
                <w:sz w:val="28"/>
                <w:szCs w:val="28"/>
              </w:rPr>
              <w:t>佔</w:t>
            </w:r>
            <w:proofErr w:type="gramEnd"/>
            <w:r w:rsidR="006B135C" w:rsidRPr="004D2C0C">
              <w:rPr>
                <w:rFonts w:eastAsia="標楷體"/>
                <w:sz w:val="28"/>
                <w:szCs w:val="28"/>
              </w:rPr>
              <w:t>60%</w:t>
            </w:r>
            <w:r w:rsidR="006B135C" w:rsidRPr="004D2C0C">
              <w:rPr>
                <w:rFonts w:eastAsia="標楷體"/>
                <w:sz w:val="28"/>
                <w:szCs w:val="28"/>
              </w:rPr>
              <w:t>，教學</w:t>
            </w:r>
            <w:proofErr w:type="gramStart"/>
            <w:r w:rsidR="006B135C" w:rsidRPr="004D2C0C">
              <w:rPr>
                <w:rFonts w:eastAsia="標楷體"/>
                <w:sz w:val="28"/>
                <w:szCs w:val="28"/>
              </w:rPr>
              <w:t>佔</w:t>
            </w:r>
            <w:proofErr w:type="gramEnd"/>
            <w:r w:rsidR="006B135C" w:rsidRPr="004D2C0C">
              <w:rPr>
                <w:rFonts w:eastAsia="標楷體"/>
                <w:sz w:val="28"/>
                <w:szCs w:val="28"/>
              </w:rPr>
              <w:t>20%</w:t>
            </w:r>
            <w:r w:rsidR="006B135C" w:rsidRPr="004D2C0C">
              <w:rPr>
                <w:rFonts w:eastAsia="標楷體"/>
                <w:sz w:val="28"/>
                <w:szCs w:val="28"/>
              </w:rPr>
              <w:t>、</w:t>
            </w:r>
            <w:r w:rsidR="006B135C" w:rsidRPr="004D2C0C">
              <w:rPr>
                <w:rFonts w:eastAsia="標楷體"/>
                <w:color w:val="FF0000"/>
                <w:sz w:val="28"/>
                <w:szCs w:val="28"/>
              </w:rPr>
              <w:t>服務</w:t>
            </w:r>
            <w:r w:rsidR="006B135C" w:rsidRPr="004D2C0C">
              <w:rPr>
                <w:rFonts w:eastAsia="標楷體"/>
                <w:color w:val="FF0000"/>
                <w:sz w:val="28"/>
                <w:szCs w:val="28"/>
              </w:rPr>
              <w:t>(</w:t>
            </w:r>
            <w:r w:rsidR="006B135C" w:rsidRPr="004D2C0C">
              <w:rPr>
                <w:rFonts w:eastAsia="標楷體"/>
                <w:color w:val="FF0000"/>
                <w:sz w:val="28"/>
                <w:szCs w:val="28"/>
              </w:rPr>
              <w:t>含輔導</w:t>
            </w:r>
            <w:r w:rsidR="006B135C" w:rsidRPr="004D2C0C">
              <w:rPr>
                <w:rFonts w:eastAsia="標楷體"/>
                <w:color w:val="FF0000"/>
                <w:sz w:val="28"/>
                <w:szCs w:val="28"/>
              </w:rPr>
              <w:t>)</w:t>
            </w:r>
            <w:proofErr w:type="gramStart"/>
            <w:r w:rsidR="006B135C" w:rsidRPr="004D2C0C">
              <w:rPr>
                <w:rFonts w:eastAsia="標楷體"/>
                <w:sz w:val="28"/>
                <w:szCs w:val="28"/>
              </w:rPr>
              <w:t>佔</w:t>
            </w:r>
            <w:proofErr w:type="gramEnd"/>
            <w:r w:rsidR="006B135C" w:rsidRPr="004D2C0C">
              <w:rPr>
                <w:rFonts w:eastAsia="標楷體"/>
                <w:sz w:val="28"/>
                <w:szCs w:val="28"/>
              </w:rPr>
              <w:t>20%</w:t>
            </w:r>
            <w:r w:rsidR="006B135C" w:rsidRPr="004D2C0C">
              <w:rPr>
                <w:rFonts w:eastAsia="標楷體"/>
                <w:sz w:val="28"/>
                <w:szCs w:val="28"/>
              </w:rPr>
              <w:t>。</w:t>
            </w:r>
          </w:p>
        </w:tc>
        <w:tc>
          <w:tcPr>
            <w:tcW w:w="3420" w:type="dxa"/>
            <w:tcBorders>
              <w:top w:val="single" w:sz="4" w:space="0" w:color="auto"/>
              <w:left w:val="single" w:sz="4" w:space="0" w:color="auto"/>
              <w:bottom w:val="single" w:sz="4" w:space="0" w:color="auto"/>
              <w:right w:val="single" w:sz="4" w:space="0" w:color="auto"/>
            </w:tcBorders>
          </w:tcPr>
          <w:p w14:paraId="193D65D6" w14:textId="77777777" w:rsidR="00E13231" w:rsidRPr="004D2C0C" w:rsidRDefault="00521AF7" w:rsidP="00AD15A7">
            <w:pPr>
              <w:adjustRightInd/>
              <w:snapToGrid w:val="0"/>
              <w:spacing w:line="240" w:lineRule="auto"/>
              <w:textAlignment w:val="auto"/>
              <w:rPr>
                <w:rFonts w:ascii="標楷體" w:eastAsia="標楷體" w:hAnsi="標楷體"/>
                <w:color w:val="FF0000"/>
                <w:szCs w:val="24"/>
              </w:rPr>
            </w:pPr>
            <w:r w:rsidRPr="004D2C0C">
              <w:rPr>
                <w:rFonts w:eastAsia="標楷體" w:hint="eastAsia"/>
                <w:sz w:val="28"/>
                <w:szCs w:val="28"/>
              </w:rPr>
              <w:t>四、升等申請人之資料審查標準含研究、教學、服務及輔導四項，其所</w:t>
            </w:r>
            <w:proofErr w:type="gramStart"/>
            <w:r w:rsidRPr="004D2C0C">
              <w:rPr>
                <w:rFonts w:eastAsia="標楷體" w:hint="eastAsia"/>
                <w:sz w:val="28"/>
                <w:szCs w:val="28"/>
              </w:rPr>
              <w:t>佔</w:t>
            </w:r>
            <w:proofErr w:type="gramEnd"/>
            <w:r w:rsidRPr="004D2C0C">
              <w:rPr>
                <w:rFonts w:eastAsia="標楷體" w:hint="eastAsia"/>
                <w:sz w:val="28"/>
                <w:szCs w:val="28"/>
              </w:rPr>
              <w:t>之比例，升等教授者分別為研究</w:t>
            </w:r>
            <w:proofErr w:type="gramStart"/>
            <w:r w:rsidRPr="004D2C0C">
              <w:rPr>
                <w:rFonts w:eastAsia="標楷體" w:hint="eastAsia"/>
                <w:sz w:val="28"/>
                <w:szCs w:val="28"/>
              </w:rPr>
              <w:t>佔</w:t>
            </w:r>
            <w:proofErr w:type="gramEnd"/>
            <w:r w:rsidRPr="004D2C0C">
              <w:rPr>
                <w:rFonts w:eastAsia="標楷體" w:hint="eastAsia"/>
                <w:sz w:val="28"/>
                <w:szCs w:val="28"/>
              </w:rPr>
              <w:t>70%</w:t>
            </w:r>
            <w:r w:rsidRPr="004D2C0C">
              <w:rPr>
                <w:rFonts w:eastAsia="標楷體" w:hint="eastAsia"/>
                <w:sz w:val="28"/>
                <w:szCs w:val="28"/>
              </w:rPr>
              <w:t>，教學</w:t>
            </w:r>
            <w:proofErr w:type="gramStart"/>
            <w:r w:rsidRPr="004D2C0C">
              <w:rPr>
                <w:rFonts w:eastAsia="標楷體" w:hint="eastAsia"/>
                <w:sz w:val="28"/>
                <w:szCs w:val="28"/>
              </w:rPr>
              <w:t>佔</w:t>
            </w:r>
            <w:proofErr w:type="gramEnd"/>
            <w:r w:rsidRPr="004D2C0C">
              <w:rPr>
                <w:rFonts w:eastAsia="標楷體" w:hint="eastAsia"/>
                <w:sz w:val="28"/>
                <w:szCs w:val="28"/>
              </w:rPr>
              <w:t>20%</w:t>
            </w:r>
            <w:r w:rsidRPr="004D2C0C">
              <w:rPr>
                <w:rFonts w:eastAsia="標楷體" w:hint="eastAsia"/>
                <w:sz w:val="28"/>
                <w:szCs w:val="28"/>
              </w:rPr>
              <w:t>、服務</w:t>
            </w:r>
            <w:r w:rsidRPr="004D2C0C">
              <w:rPr>
                <w:rFonts w:eastAsia="標楷體" w:hint="eastAsia"/>
                <w:sz w:val="28"/>
                <w:szCs w:val="28"/>
              </w:rPr>
              <w:t>(</w:t>
            </w:r>
            <w:r w:rsidRPr="004D2C0C">
              <w:rPr>
                <w:rFonts w:eastAsia="標楷體" w:hint="eastAsia"/>
                <w:sz w:val="28"/>
                <w:szCs w:val="28"/>
              </w:rPr>
              <w:t>含輔導</w:t>
            </w:r>
            <w:r w:rsidRPr="004D2C0C">
              <w:rPr>
                <w:rFonts w:eastAsia="標楷體" w:hint="eastAsia"/>
                <w:sz w:val="28"/>
                <w:szCs w:val="28"/>
              </w:rPr>
              <w:t>)</w:t>
            </w:r>
            <w:proofErr w:type="gramStart"/>
            <w:r w:rsidRPr="004D2C0C">
              <w:rPr>
                <w:rFonts w:eastAsia="標楷體" w:hint="eastAsia"/>
                <w:sz w:val="28"/>
                <w:szCs w:val="28"/>
              </w:rPr>
              <w:t>佔</w:t>
            </w:r>
            <w:proofErr w:type="gramEnd"/>
            <w:r w:rsidRPr="004D2C0C">
              <w:rPr>
                <w:rFonts w:eastAsia="標楷體" w:hint="eastAsia"/>
                <w:sz w:val="28"/>
                <w:szCs w:val="28"/>
              </w:rPr>
              <w:t>10%</w:t>
            </w:r>
            <w:r w:rsidRPr="004D2C0C">
              <w:rPr>
                <w:rFonts w:eastAsia="標楷體" w:hint="eastAsia"/>
                <w:sz w:val="28"/>
                <w:szCs w:val="28"/>
              </w:rPr>
              <w:t>，升等副教授者，分別為研究</w:t>
            </w:r>
            <w:proofErr w:type="gramStart"/>
            <w:r w:rsidRPr="004D2C0C">
              <w:rPr>
                <w:rFonts w:eastAsia="標楷體" w:hint="eastAsia"/>
                <w:sz w:val="28"/>
                <w:szCs w:val="28"/>
              </w:rPr>
              <w:t>佔</w:t>
            </w:r>
            <w:proofErr w:type="gramEnd"/>
            <w:r w:rsidRPr="004D2C0C">
              <w:rPr>
                <w:rFonts w:eastAsia="標楷體" w:hint="eastAsia"/>
                <w:sz w:val="28"/>
                <w:szCs w:val="28"/>
              </w:rPr>
              <w:t>60%</w:t>
            </w:r>
            <w:r w:rsidRPr="004D2C0C">
              <w:rPr>
                <w:rFonts w:eastAsia="標楷體" w:hint="eastAsia"/>
                <w:sz w:val="28"/>
                <w:szCs w:val="28"/>
              </w:rPr>
              <w:t>，教學</w:t>
            </w:r>
            <w:proofErr w:type="gramStart"/>
            <w:r w:rsidRPr="004D2C0C">
              <w:rPr>
                <w:rFonts w:eastAsia="標楷體" w:hint="eastAsia"/>
                <w:sz w:val="28"/>
                <w:szCs w:val="28"/>
              </w:rPr>
              <w:t>佔</w:t>
            </w:r>
            <w:proofErr w:type="gramEnd"/>
            <w:r w:rsidRPr="004D2C0C">
              <w:rPr>
                <w:rFonts w:eastAsia="標楷體" w:hint="eastAsia"/>
                <w:sz w:val="28"/>
                <w:szCs w:val="28"/>
              </w:rPr>
              <w:t>20%</w:t>
            </w:r>
            <w:r w:rsidRPr="004D2C0C">
              <w:rPr>
                <w:rFonts w:eastAsia="標楷體" w:hint="eastAsia"/>
                <w:sz w:val="28"/>
                <w:szCs w:val="28"/>
              </w:rPr>
              <w:t>、服務</w:t>
            </w:r>
            <w:r w:rsidRPr="004D2C0C">
              <w:rPr>
                <w:rFonts w:eastAsia="標楷體" w:hint="eastAsia"/>
                <w:sz w:val="28"/>
                <w:szCs w:val="28"/>
              </w:rPr>
              <w:t>(</w:t>
            </w:r>
            <w:r w:rsidRPr="004D2C0C">
              <w:rPr>
                <w:rFonts w:eastAsia="標楷體" w:hint="eastAsia"/>
                <w:sz w:val="28"/>
                <w:szCs w:val="28"/>
              </w:rPr>
              <w:t>含輔導</w:t>
            </w:r>
            <w:r w:rsidRPr="004D2C0C">
              <w:rPr>
                <w:rFonts w:eastAsia="標楷體" w:hint="eastAsia"/>
                <w:sz w:val="28"/>
                <w:szCs w:val="28"/>
              </w:rPr>
              <w:t>)</w:t>
            </w:r>
            <w:proofErr w:type="gramStart"/>
            <w:r w:rsidRPr="004D2C0C">
              <w:rPr>
                <w:rFonts w:eastAsia="標楷體" w:hint="eastAsia"/>
                <w:sz w:val="28"/>
                <w:szCs w:val="28"/>
              </w:rPr>
              <w:t>佔</w:t>
            </w:r>
            <w:proofErr w:type="gramEnd"/>
            <w:r w:rsidRPr="004D2C0C">
              <w:rPr>
                <w:rFonts w:eastAsia="標楷體" w:hint="eastAsia"/>
                <w:sz w:val="28"/>
                <w:szCs w:val="28"/>
              </w:rPr>
              <w:t>20%</w:t>
            </w:r>
            <w:r w:rsidRPr="004D2C0C">
              <w:rPr>
                <w:rFonts w:eastAsia="標楷體" w:hint="eastAsia"/>
                <w:sz w:val="28"/>
                <w:szCs w:val="28"/>
              </w:rPr>
              <w:t>。</w:t>
            </w:r>
          </w:p>
        </w:tc>
        <w:tc>
          <w:tcPr>
            <w:tcW w:w="1980" w:type="dxa"/>
            <w:tcBorders>
              <w:top w:val="single" w:sz="4" w:space="0" w:color="auto"/>
              <w:left w:val="single" w:sz="4" w:space="0" w:color="auto"/>
              <w:bottom w:val="single" w:sz="4" w:space="0" w:color="auto"/>
              <w:right w:val="single" w:sz="4" w:space="0" w:color="auto"/>
            </w:tcBorders>
            <w:hideMark/>
          </w:tcPr>
          <w:p w14:paraId="63787D2F" w14:textId="77777777" w:rsidR="00E13231" w:rsidRPr="004D2C0C" w:rsidRDefault="00296023" w:rsidP="007F64FE">
            <w:pPr>
              <w:adjustRightInd/>
              <w:spacing w:line="240" w:lineRule="auto"/>
              <w:ind w:left="-20" w:right="-20"/>
              <w:textAlignment w:val="auto"/>
              <w:rPr>
                <w:rFonts w:ascii="標楷體" w:eastAsia="標楷體" w:hAnsi="標楷體"/>
                <w:color w:val="FF0000"/>
                <w:szCs w:val="24"/>
              </w:rPr>
            </w:pPr>
            <w:r w:rsidRPr="004D2C0C">
              <w:rPr>
                <w:rFonts w:ascii="標楷體" w:eastAsia="標楷體" w:hAnsi="標楷體" w:hint="eastAsia"/>
                <w:color w:val="FF0000"/>
                <w:szCs w:val="24"/>
              </w:rPr>
              <w:t>調整</w:t>
            </w:r>
            <w:r w:rsidR="003859AB" w:rsidRPr="004D2C0C">
              <w:rPr>
                <w:rFonts w:ascii="標楷體" w:eastAsia="標楷體" w:hAnsi="標楷體" w:hint="eastAsia"/>
                <w:color w:val="FF0000"/>
                <w:szCs w:val="24"/>
              </w:rPr>
              <w:t>審查項目</w:t>
            </w:r>
            <w:r w:rsidR="00521AF7" w:rsidRPr="004D2C0C">
              <w:rPr>
                <w:rFonts w:ascii="標楷體" w:eastAsia="標楷體" w:hAnsi="標楷體" w:hint="eastAsia"/>
                <w:color w:val="FF0000"/>
                <w:szCs w:val="24"/>
              </w:rPr>
              <w:t>及表示</w:t>
            </w:r>
            <w:r w:rsidRPr="004D2C0C">
              <w:rPr>
                <w:rFonts w:ascii="標楷體" w:eastAsia="標楷體" w:hAnsi="標楷體" w:hint="eastAsia"/>
                <w:color w:val="FF0000"/>
                <w:szCs w:val="24"/>
              </w:rPr>
              <w:t>文字</w:t>
            </w:r>
            <w:r w:rsidR="00E13231" w:rsidRPr="004D2C0C">
              <w:rPr>
                <w:rFonts w:ascii="標楷體" w:eastAsia="標楷體" w:hAnsi="標楷體" w:hint="eastAsia"/>
                <w:color w:val="FF0000"/>
                <w:szCs w:val="24"/>
              </w:rPr>
              <w:t>。</w:t>
            </w:r>
          </w:p>
        </w:tc>
      </w:tr>
      <w:tr w:rsidR="00AD15A7" w:rsidRPr="004D2C0C" w14:paraId="5D7BB746" w14:textId="77777777" w:rsidTr="00B7740E">
        <w:tc>
          <w:tcPr>
            <w:tcW w:w="1260" w:type="dxa"/>
            <w:tcBorders>
              <w:top w:val="single" w:sz="4" w:space="0" w:color="auto"/>
              <w:left w:val="single" w:sz="4" w:space="0" w:color="auto"/>
              <w:bottom w:val="single" w:sz="4" w:space="0" w:color="auto"/>
              <w:right w:val="single" w:sz="4" w:space="0" w:color="auto"/>
            </w:tcBorders>
          </w:tcPr>
          <w:p w14:paraId="3A0D2EAD" w14:textId="77777777" w:rsidR="00AD15A7" w:rsidRPr="004D2C0C" w:rsidRDefault="00AD15A7" w:rsidP="005052AB">
            <w:pPr>
              <w:adjustRightInd/>
              <w:spacing w:line="240" w:lineRule="auto"/>
              <w:ind w:leftChars="-20" w:left="-48" w:rightChars="-20" w:right="-48"/>
              <w:textAlignment w:val="auto"/>
              <w:rPr>
                <w:rFonts w:ascii="標楷體" w:eastAsia="標楷體" w:hAnsi="標楷體"/>
                <w:color w:val="FF0000"/>
                <w:szCs w:val="24"/>
              </w:rPr>
            </w:pPr>
          </w:p>
        </w:tc>
        <w:tc>
          <w:tcPr>
            <w:tcW w:w="3420" w:type="dxa"/>
            <w:tcBorders>
              <w:top w:val="single" w:sz="4" w:space="0" w:color="auto"/>
              <w:left w:val="single" w:sz="4" w:space="0" w:color="auto"/>
              <w:bottom w:val="single" w:sz="4" w:space="0" w:color="auto"/>
              <w:right w:val="single" w:sz="4" w:space="0" w:color="auto"/>
            </w:tcBorders>
          </w:tcPr>
          <w:p w14:paraId="26C46D8E" w14:textId="2E5575F2" w:rsidR="00664C6E" w:rsidRPr="004D2C0C" w:rsidRDefault="00664C6E" w:rsidP="00664C6E">
            <w:pPr>
              <w:pStyle w:val="21"/>
              <w:spacing w:after="0" w:line="240" w:lineRule="auto"/>
              <w:ind w:leftChars="0" w:left="420" w:hangingChars="150" w:hanging="420"/>
              <w:rPr>
                <w:rFonts w:eastAsia="標楷體"/>
                <w:sz w:val="28"/>
                <w:szCs w:val="28"/>
              </w:rPr>
            </w:pPr>
            <w:r w:rsidRPr="004D2C0C">
              <w:rPr>
                <w:rFonts w:eastAsia="標楷體" w:hint="eastAsia"/>
                <w:sz w:val="28"/>
                <w:szCs w:val="28"/>
              </w:rPr>
              <w:t>(</w:t>
            </w:r>
            <w:proofErr w:type="gramStart"/>
            <w:r w:rsidRPr="004D2C0C">
              <w:rPr>
                <w:rFonts w:eastAsia="標楷體" w:hint="eastAsia"/>
                <w:sz w:val="28"/>
                <w:szCs w:val="28"/>
              </w:rPr>
              <w:t>一</w:t>
            </w:r>
            <w:proofErr w:type="gramEnd"/>
            <w:r w:rsidRPr="004D2C0C">
              <w:rPr>
                <w:rFonts w:eastAsia="標楷體" w:hint="eastAsia"/>
                <w:sz w:val="28"/>
                <w:szCs w:val="28"/>
              </w:rPr>
              <w:t>)</w:t>
            </w:r>
            <w:r w:rsidR="004D2C0C" w:rsidRPr="004D2C0C">
              <w:rPr>
                <w:rFonts w:eastAsia="標楷體" w:hint="eastAsia"/>
                <w:color w:val="FF0000"/>
                <w:sz w:val="28"/>
                <w:szCs w:val="28"/>
              </w:rPr>
              <w:t>專業學術表現</w:t>
            </w:r>
            <w:r w:rsidR="00994451" w:rsidRPr="004D2C0C">
              <w:rPr>
                <w:rFonts w:eastAsia="標楷體" w:hint="eastAsia"/>
                <w:color w:val="FF0000"/>
                <w:sz w:val="28"/>
                <w:szCs w:val="28"/>
              </w:rPr>
              <w:t>之要求</w:t>
            </w:r>
            <w:r w:rsidRPr="004D2C0C">
              <w:rPr>
                <w:rFonts w:eastAsia="標楷體"/>
                <w:color w:val="FF0000"/>
                <w:sz w:val="28"/>
                <w:szCs w:val="28"/>
              </w:rPr>
              <w:t>：</w:t>
            </w:r>
          </w:p>
          <w:p w14:paraId="58AB97BB" w14:textId="09D78324" w:rsidR="00664C6E" w:rsidRPr="004D2C0C" w:rsidRDefault="00664C6E" w:rsidP="00664C6E">
            <w:pPr>
              <w:pStyle w:val="21"/>
              <w:spacing w:after="0" w:line="240" w:lineRule="auto"/>
              <w:ind w:leftChars="210" w:left="680" w:hangingChars="63" w:hanging="176"/>
              <w:rPr>
                <w:rFonts w:eastAsia="標楷體"/>
                <w:color w:val="FF0000"/>
                <w:sz w:val="28"/>
                <w:szCs w:val="28"/>
              </w:rPr>
            </w:pPr>
            <w:r w:rsidRPr="004D2C0C">
              <w:rPr>
                <w:rFonts w:eastAsia="標楷體"/>
                <w:sz w:val="28"/>
                <w:szCs w:val="28"/>
              </w:rPr>
              <w:t>1.</w:t>
            </w:r>
            <w:r w:rsidR="004D2C0C" w:rsidRPr="004D2C0C">
              <w:rPr>
                <w:rFonts w:eastAsia="標楷體" w:hint="eastAsia"/>
                <w:color w:val="FF0000"/>
                <w:sz w:val="28"/>
                <w:szCs w:val="28"/>
              </w:rPr>
              <w:t>專業學術表現</w:t>
            </w:r>
            <w:r w:rsidRPr="004D2C0C">
              <w:rPr>
                <w:rFonts w:eastAsia="標楷體"/>
                <w:sz w:val="28"/>
                <w:szCs w:val="28"/>
              </w:rPr>
              <w:t>依據申請人代表著作及參考著作評量。</w:t>
            </w:r>
            <w:r w:rsidRPr="004D2C0C">
              <w:rPr>
                <w:rFonts w:eastAsia="標楷體" w:hint="eastAsia"/>
                <w:color w:val="FF0000"/>
                <w:sz w:val="28"/>
                <w:szCs w:val="28"/>
              </w:rPr>
              <w:t>送審之</w:t>
            </w:r>
            <w:r w:rsidRPr="004D2C0C">
              <w:rPr>
                <w:rFonts w:eastAsia="標楷體"/>
                <w:sz w:val="28"/>
                <w:szCs w:val="28"/>
              </w:rPr>
              <w:t>代表著作及參考著作</w:t>
            </w:r>
            <w:r w:rsidRPr="004D2C0C">
              <w:rPr>
                <w:rFonts w:eastAsia="標楷體" w:hint="eastAsia"/>
                <w:color w:val="FF0000"/>
                <w:sz w:val="28"/>
                <w:szCs w:val="28"/>
              </w:rPr>
              <w:t>之形式</w:t>
            </w:r>
            <w:r w:rsidR="00164F4A" w:rsidRPr="004D2C0C">
              <w:rPr>
                <w:rFonts w:eastAsia="標楷體" w:hint="eastAsia"/>
                <w:color w:val="FF0000"/>
                <w:sz w:val="28"/>
                <w:szCs w:val="28"/>
              </w:rPr>
              <w:t>(</w:t>
            </w:r>
            <w:r w:rsidR="00164F4A" w:rsidRPr="004D2C0C">
              <w:rPr>
                <w:rFonts w:eastAsia="標楷體" w:hint="eastAsia"/>
                <w:color w:val="FF0000"/>
                <w:sz w:val="28"/>
                <w:szCs w:val="28"/>
              </w:rPr>
              <w:t>含專門著作、作品、成就證明、技術報告等</w:t>
            </w:r>
            <w:r w:rsidR="00164F4A" w:rsidRPr="004D2C0C">
              <w:rPr>
                <w:rFonts w:eastAsia="標楷體" w:hint="eastAsia"/>
                <w:color w:val="FF0000"/>
                <w:sz w:val="28"/>
                <w:szCs w:val="28"/>
              </w:rPr>
              <w:t>)</w:t>
            </w:r>
            <w:r w:rsidRPr="004D2C0C">
              <w:rPr>
                <w:rFonts w:eastAsia="標楷體" w:hint="eastAsia"/>
                <w:color w:val="FF0000"/>
                <w:sz w:val="28"/>
                <w:szCs w:val="28"/>
              </w:rPr>
              <w:t>、條件、</w:t>
            </w:r>
            <w:proofErr w:type="gramStart"/>
            <w:r w:rsidRPr="004D2C0C">
              <w:rPr>
                <w:rFonts w:eastAsia="標楷體" w:hint="eastAsia"/>
                <w:color w:val="FF0000"/>
                <w:sz w:val="28"/>
                <w:szCs w:val="28"/>
              </w:rPr>
              <w:t>數量均依</w:t>
            </w:r>
            <w:proofErr w:type="gramEnd"/>
            <w:r w:rsidRPr="004D2C0C">
              <w:rPr>
                <w:rFonts w:eastAsia="標楷體"/>
                <w:sz w:val="28"/>
                <w:szCs w:val="28"/>
              </w:rPr>
              <w:t>「輔仁大學教師升等辦法」</w:t>
            </w:r>
            <w:r w:rsidRPr="004D2C0C">
              <w:rPr>
                <w:rFonts w:eastAsia="標楷體"/>
                <w:color w:val="FF0000"/>
                <w:sz w:val="28"/>
                <w:szCs w:val="28"/>
              </w:rPr>
              <w:t>第</w:t>
            </w:r>
            <w:r w:rsidRPr="004D2C0C">
              <w:rPr>
                <w:rFonts w:eastAsia="標楷體" w:hint="eastAsia"/>
                <w:color w:val="FF0000"/>
                <w:sz w:val="28"/>
                <w:szCs w:val="28"/>
              </w:rPr>
              <w:t>二條、第五</w:t>
            </w:r>
            <w:r w:rsidRPr="004D2C0C">
              <w:rPr>
                <w:rFonts w:eastAsia="標楷體"/>
                <w:color w:val="FF0000"/>
                <w:sz w:val="28"/>
                <w:szCs w:val="28"/>
              </w:rPr>
              <w:t>條</w:t>
            </w:r>
            <w:r w:rsidRPr="004D2C0C">
              <w:rPr>
                <w:rFonts w:eastAsia="標楷體" w:hint="eastAsia"/>
                <w:color w:val="FF0000"/>
                <w:sz w:val="28"/>
                <w:szCs w:val="28"/>
              </w:rPr>
              <w:t>及第七條</w:t>
            </w:r>
            <w:r w:rsidRPr="004D2C0C">
              <w:rPr>
                <w:rFonts w:eastAsia="標楷體" w:hint="eastAsia"/>
                <w:sz w:val="28"/>
                <w:szCs w:val="28"/>
              </w:rPr>
              <w:t>，</w:t>
            </w:r>
            <w:r w:rsidR="001711AC" w:rsidRPr="004D2C0C">
              <w:rPr>
                <w:rFonts w:eastAsia="標楷體" w:hint="eastAsia"/>
                <w:color w:val="FF0000"/>
                <w:sz w:val="28"/>
                <w:szCs w:val="28"/>
              </w:rPr>
              <w:t>輔仁大學教師以「教學實務研發成果報告」升等申</w:t>
            </w:r>
            <w:r w:rsidR="001711AC" w:rsidRPr="004D2C0C">
              <w:rPr>
                <w:rFonts w:eastAsia="標楷體" w:hint="eastAsia"/>
                <w:color w:val="FF0000"/>
                <w:sz w:val="28"/>
                <w:szCs w:val="28"/>
              </w:rPr>
              <w:lastRenderedPageBreak/>
              <w:t>請資格審查原則，輔仁大學教師以「產學合作研發成果報告」升等申請資格審查原則，</w:t>
            </w:r>
            <w:r w:rsidRPr="004D2C0C">
              <w:rPr>
                <w:rFonts w:eastAsia="標楷體" w:hint="eastAsia"/>
                <w:sz w:val="28"/>
                <w:szCs w:val="28"/>
              </w:rPr>
              <w:t>「輔仁大學民生學院教師升等評審辦法」第四條，「</w:t>
            </w:r>
            <w:r w:rsidRPr="004D2C0C">
              <w:rPr>
                <w:rFonts w:eastAsia="標楷體" w:hint="eastAsia"/>
                <w:color w:val="FF0000"/>
                <w:sz w:val="28"/>
                <w:szCs w:val="28"/>
              </w:rPr>
              <w:t>民生學院教師升等各系『研究發表積分</w:t>
            </w:r>
            <w:proofErr w:type="gramStart"/>
            <w:r w:rsidRPr="004D2C0C">
              <w:rPr>
                <w:rFonts w:eastAsia="標楷體" w:hint="eastAsia"/>
                <w:color w:val="FF0000"/>
                <w:sz w:val="28"/>
                <w:szCs w:val="28"/>
              </w:rPr>
              <w:t>採</w:t>
            </w:r>
            <w:proofErr w:type="gramEnd"/>
            <w:r w:rsidRPr="004D2C0C">
              <w:rPr>
                <w:rFonts w:eastAsia="標楷體" w:hint="eastAsia"/>
                <w:color w:val="FF0000"/>
                <w:sz w:val="28"/>
                <w:szCs w:val="28"/>
              </w:rPr>
              <w:t>計等級』參考規範」相關規定辦理。</w:t>
            </w:r>
          </w:p>
          <w:p w14:paraId="49E8D526" w14:textId="77777777" w:rsidR="00664C6E" w:rsidRPr="004D2C0C" w:rsidRDefault="00664C6E" w:rsidP="00664C6E">
            <w:pPr>
              <w:pStyle w:val="21"/>
              <w:spacing w:after="0" w:line="240" w:lineRule="auto"/>
              <w:ind w:leftChars="211" w:left="1114" w:hangingChars="217" w:hanging="608"/>
              <w:rPr>
                <w:rFonts w:eastAsia="標楷體"/>
                <w:sz w:val="28"/>
                <w:szCs w:val="28"/>
              </w:rPr>
            </w:pPr>
            <w:r w:rsidRPr="004D2C0C">
              <w:rPr>
                <w:rFonts w:eastAsia="標楷體"/>
                <w:sz w:val="28"/>
                <w:szCs w:val="28"/>
              </w:rPr>
              <w:t>2.</w:t>
            </w:r>
            <w:r w:rsidRPr="004D2C0C">
              <w:rPr>
                <w:rFonts w:eastAsia="標楷體"/>
                <w:sz w:val="28"/>
                <w:szCs w:val="28"/>
              </w:rPr>
              <w:t>著作</w:t>
            </w:r>
            <w:r w:rsidR="00867708" w:rsidRPr="004D2C0C">
              <w:rPr>
                <w:rFonts w:eastAsia="標楷體" w:hint="eastAsia"/>
                <w:color w:val="FF0000"/>
                <w:sz w:val="28"/>
                <w:szCs w:val="28"/>
              </w:rPr>
              <w:t>規範</w:t>
            </w:r>
            <w:r w:rsidRPr="004D2C0C">
              <w:rPr>
                <w:rFonts w:eastAsia="標楷體"/>
                <w:sz w:val="28"/>
                <w:szCs w:val="28"/>
              </w:rPr>
              <w:t>：</w:t>
            </w:r>
          </w:p>
          <w:p w14:paraId="0445E215" w14:textId="77777777" w:rsidR="00664C6E" w:rsidRPr="004D2C0C" w:rsidRDefault="00664C6E" w:rsidP="00664C6E">
            <w:pPr>
              <w:pStyle w:val="21"/>
              <w:spacing w:after="0" w:line="240" w:lineRule="auto"/>
              <w:ind w:leftChars="349" w:left="1258" w:hangingChars="150" w:hanging="420"/>
              <w:rPr>
                <w:rFonts w:eastAsia="標楷體"/>
                <w:sz w:val="28"/>
                <w:szCs w:val="28"/>
              </w:rPr>
            </w:pPr>
            <w:r w:rsidRPr="004D2C0C">
              <w:rPr>
                <w:rFonts w:eastAsia="標楷體"/>
                <w:sz w:val="28"/>
                <w:szCs w:val="28"/>
              </w:rPr>
              <w:t>(1)</w:t>
            </w:r>
            <w:r w:rsidRPr="004D2C0C">
              <w:rPr>
                <w:rFonts w:eastAsia="標楷體"/>
                <w:sz w:val="28"/>
                <w:szCs w:val="28"/>
              </w:rPr>
              <w:t>申請升等副教授者</w:t>
            </w:r>
            <w:r w:rsidR="00AF7222" w:rsidRPr="004D2C0C">
              <w:rPr>
                <w:rFonts w:eastAsia="標楷體"/>
                <w:sz w:val="28"/>
                <w:szCs w:val="28"/>
              </w:rPr>
              <w:t>…</w:t>
            </w:r>
            <w:r w:rsidR="00AF7222" w:rsidRPr="004D2C0C">
              <w:rPr>
                <w:rFonts w:eastAsia="標楷體" w:hint="eastAsia"/>
                <w:sz w:val="28"/>
                <w:szCs w:val="28"/>
              </w:rPr>
              <w:t>.</w:t>
            </w:r>
            <w:r w:rsidRPr="004D2C0C">
              <w:rPr>
                <w:rFonts w:eastAsia="標楷體"/>
                <w:sz w:val="28"/>
                <w:szCs w:val="28"/>
              </w:rPr>
              <w:t>。</w:t>
            </w:r>
          </w:p>
          <w:p w14:paraId="07FEF9DA" w14:textId="77777777" w:rsidR="00664C6E" w:rsidRPr="004D2C0C" w:rsidRDefault="00664C6E" w:rsidP="00664C6E">
            <w:pPr>
              <w:pStyle w:val="21"/>
              <w:spacing w:after="0" w:line="240" w:lineRule="auto"/>
              <w:ind w:leftChars="349" w:left="1258" w:hangingChars="150" w:hanging="420"/>
              <w:rPr>
                <w:rFonts w:eastAsia="標楷體"/>
                <w:color w:val="FF0000"/>
                <w:sz w:val="28"/>
                <w:szCs w:val="28"/>
              </w:rPr>
            </w:pPr>
            <w:r w:rsidRPr="004D2C0C">
              <w:rPr>
                <w:rFonts w:eastAsia="標楷體"/>
                <w:sz w:val="28"/>
                <w:szCs w:val="28"/>
              </w:rPr>
              <w:t>(2)</w:t>
            </w:r>
            <w:r w:rsidRPr="004D2C0C">
              <w:rPr>
                <w:rFonts w:eastAsia="標楷體"/>
                <w:sz w:val="28"/>
                <w:szCs w:val="28"/>
              </w:rPr>
              <w:t>代表著作應以輔仁大學名義發表，</w:t>
            </w:r>
            <w:r w:rsidRPr="004D2C0C">
              <w:rPr>
                <w:rFonts w:eastAsia="標楷體"/>
                <w:color w:val="FF0000"/>
                <w:sz w:val="28"/>
                <w:szCs w:val="28"/>
              </w:rPr>
              <w:t>且須為本</w:t>
            </w:r>
          </w:p>
          <w:p w14:paraId="5BC3D8D7" w14:textId="77777777" w:rsidR="00664C6E" w:rsidRPr="004D2C0C" w:rsidRDefault="00664C6E" w:rsidP="00664C6E">
            <w:pPr>
              <w:pStyle w:val="21"/>
              <w:spacing w:after="0" w:line="240" w:lineRule="auto"/>
              <w:ind w:leftChars="350" w:left="1318" w:hanging="478"/>
              <w:rPr>
                <w:rFonts w:eastAsia="標楷體"/>
                <w:sz w:val="28"/>
                <w:szCs w:val="28"/>
              </w:rPr>
            </w:pPr>
            <w:r w:rsidRPr="004D2C0C">
              <w:rPr>
                <w:rFonts w:eastAsia="標楷體" w:hint="eastAsia"/>
                <w:color w:val="FF0000"/>
                <w:sz w:val="28"/>
                <w:szCs w:val="28"/>
              </w:rPr>
              <w:t xml:space="preserve">  </w:t>
            </w:r>
            <w:r w:rsidRPr="004D2C0C">
              <w:rPr>
                <w:rFonts w:eastAsia="標楷體"/>
                <w:color w:val="FF0000"/>
                <w:sz w:val="28"/>
                <w:szCs w:val="28"/>
              </w:rPr>
              <w:t>系評定為五分者為限</w:t>
            </w:r>
            <w:r w:rsidRPr="004D2C0C">
              <w:rPr>
                <w:rFonts w:eastAsia="標楷體" w:hint="eastAsia"/>
                <w:color w:val="FF0000"/>
                <w:sz w:val="28"/>
                <w:szCs w:val="28"/>
              </w:rPr>
              <w:t>，並</w:t>
            </w:r>
            <w:r w:rsidRPr="004D2C0C">
              <w:rPr>
                <w:rFonts w:eastAsia="標楷體"/>
                <w:sz w:val="28"/>
                <w:szCs w:val="28"/>
              </w:rPr>
              <w:t>為送審人取得前一等級</w:t>
            </w:r>
            <w:r w:rsidR="00AF7222" w:rsidRPr="004D2C0C">
              <w:rPr>
                <w:rFonts w:eastAsia="標楷體"/>
                <w:sz w:val="28"/>
                <w:szCs w:val="28"/>
              </w:rPr>
              <w:t>…</w:t>
            </w:r>
            <w:proofErr w:type="gramStart"/>
            <w:r w:rsidR="00AF7222" w:rsidRPr="004D2C0C">
              <w:rPr>
                <w:rFonts w:eastAsia="標楷體"/>
                <w:sz w:val="28"/>
                <w:szCs w:val="28"/>
              </w:rPr>
              <w:t>…</w:t>
            </w:r>
            <w:proofErr w:type="gramEnd"/>
            <w:r w:rsidRPr="004D2C0C">
              <w:rPr>
                <w:rFonts w:eastAsia="標楷體"/>
                <w:sz w:val="28"/>
                <w:szCs w:val="28"/>
              </w:rPr>
              <w:t>。</w:t>
            </w:r>
          </w:p>
          <w:p w14:paraId="0362963D" w14:textId="77777777" w:rsidR="00664C6E" w:rsidRPr="004D2C0C" w:rsidRDefault="00867708" w:rsidP="00664C6E">
            <w:pPr>
              <w:pStyle w:val="21"/>
              <w:spacing w:after="0" w:line="240" w:lineRule="auto"/>
              <w:ind w:leftChars="210" w:left="680" w:hangingChars="63" w:hanging="176"/>
              <w:rPr>
                <w:rFonts w:eastAsia="標楷體"/>
                <w:sz w:val="28"/>
                <w:szCs w:val="28"/>
                <w:u w:val="single"/>
              </w:rPr>
            </w:pPr>
            <w:r w:rsidRPr="004D2C0C">
              <w:rPr>
                <w:rFonts w:eastAsia="標楷體" w:hint="eastAsia"/>
                <w:sz w:val="28"/>
                <w:szCs w:val="28"/>
                <w:u w:val="single"/>
              </w:rPr>
              <w:t xml:space="preserve">  (</w:t>
            </w:r>
            <w:r w:rsidR="000D745E" w:rsidRPr="004D2C0C">
              <w:rPr>
                <w:rFonts w:eastAsia="標楷體" w:hint="eastAsia"/>
                <w:sz w:val="28"/>
                <w:szCs w:val="28"/>
                <w:u w:val="single"/>
              </w:rPr>
              <w:t>3</w:t>
            </w:r>
            <w:r w:rsidRPr="004D2C0C">
              <w:rPr>
                <w:rFonts w:eastAsia="標楷體" w:hint="eastAsia"/>
                <w:sz w:val="28"/>
                <w:szCs w:val="28"/>
                <w:u w:val="single"/>
              </w:rPr>
              <w:t>)</w:t>
            </w:r>
            <w:r w:rsidR="000D745E" w:rsidRPr="004D2C0C">
              <w:rPr>
                <w:rFonts w:eastAsia="標楷體"/>
                <w:sz w:val="28"/>
                <w:szCs w:val="28"/>
                <w:u w:val="single"/>
              </w:rPr>
              <w:t>…</w:t>
            </w:r>
            <w:r w:rsidR="000D745E" w:rsidRPr="004D2C0C">
              <w:rPr>
                <w:rFonts w:eastAsia="標楷體" w:hint="eastAsia"/>
                <w:sz w:val="28"/>
                <w:szCs w:val="28"/>
                <w:u w:val="single"/>
              </w:rPr>
              <w:t>.</w:t>
            </w:r>
            <w:r w:rsidR="000D745E" w:rsidRPr="004D2C0C">
              <w:rPr>
                <w:rFonts w:eastAsia="標楷體" w:hint="eastAsia"/>
                <w:sz w:val="28"/>
                <w:szCs w:val="28"/>
                <w:u w:val="single"/>
              </w:rPr>
              <w:t>略</w:t>
            </w:r>
            <w:r w:rsidR="000D745E" w:rsidRPr="004D2C0C">
              <w:rPr>
                <w:rFonts w:eastAsia="標楷體" w:hint="eastAsia"/>
                <w:sz w:val="28"/>
                <w:szCs w:val="28"/>
                <w:u w:val="single"/>
              </w:rPr>
              <w:t>(</w:t>
            </w:r>
            <w:r w:rsidR="000D745E" w:rsidRPr="004D2C0C">
              <w:rPr>
                <w:rFonts w:eastAsia="標楷體" w:hint="eastAsia"/>
                <w:sz w:val="28"/>
                <w:szCs w:val="28"/>
                <w:u w:val="single"/>
              </w:rPr>
              <w:t>未調整</w:t>
            </w:r>
            <w:r w:rsidR="000D745E" w:rsidRPr="004D2C0C">
              <w:rPr>
                <w:rFonts w:eastAsia="標楷體" w:hint="eastAsia"/>
                <w:sz w:val="28"/>
                <w:szCs w:val="28"/>
                <w:u w:val="single"/>
              </w:rPr>
              <w:t>)</w:t>
            </w:r>
          </w:p>
          <w:p w14:paraId="782A4560" w14:textId="77777777" w:rsidR="00AD15A7" w:rsidRPr="004D2C0C" w:rsidRDefault="00867708" w:rsidP="00BD4ED5">
            <w:pPr>
              <w:pStyle w:val="21"/>
              <w:spacing w:after="0" w:line="240" w:lineRule="auto"/>
              <w:ind w:leftChars="210" w:left="680" w:hangingChars="63" w:hanging="176"/>
              <w:rPr>
                <w:rFonts w:ascii="標楷體" w:eastAsia="標楷體" w:hAnsi="標楷體"/>
                <w:color w:val="FF0000"/>
                <w:szCs w:val="24"/>
              </w:rPr>
            </w:pPr>
            <w:r w:rsidRPr="004D2C0C">
              <w:rPr>
                <w:rFonts w:eastAsia="標楷體" w:hint="eastAsia"/>
                <w:sz w:val="28"/>
                <w:szCs w:val="28"/>
              </w:rPr>
              <w:t xml:space="preserve">  (</w:t>
            </w:r>
            <w:r w:rsidR="00664C6E" w:rsidRPr="004D2C0C">
              <w:rPr>
                <w:rFonts w:eastAsia="標楷體"/>
                <w:sz w:val="28"/>
                <w:szCs w:val="28"/>
              </w:rPr>
              <w:t>4</w:t>
            </w:r>
            <w:r w:rsidRPr="004D2C0C">
              <w:rPr>
                <w:rFonts w:eastAsia="標楷體" w:hint="eastAsia"/>
                <w:sz w:val="28"/>
                <w:szCs w:val="28"/>
              </w:rPr>
              <w:t>)</w:t>
            </w:r>
            <w:r w:rsidR="00664C6E" w:rsidRPr="004D2C0C">
              <w:rPr>
                <w:rFonts w:eastAsia="標楷體"/>
                <w:sz w:val="28"/>
                <w:szCs w:val="28"/>
              </w:rPr>
              <w:t>.</w:t>
            </w:r>
            <w:r w:rsidR="00664C6E" w:rsidRPr="004D2C0C">
              <w:rPr>
                <w:rFonts w:eastAsia="標楷體"/>
                <w:sz w:val="28"/>
                <w:szCs w:val="28"/>
              </w:rPr>
              <w:t>著作積分計算，依</w:t>
            </w:r>
            <w:r w:rsidR="00664C6E" w:rsidRPr="004D2C0C">
              <w:rPr>
                <w:rFonts w:eastAsia="標楷體" w:hint="eastAsia"/>
                <w:color w:val="FF0000"/>
                <w:sz w:val="28"/>
                <w:szCs w:val="28"/>
              </w:rPr>
              <w:t>『民生學院教師升等各系『研究發表積分</w:t>
            </w:r>
            <w:proofErr w:type="gramStart"/>
            <w:r w:rsidR="00664C6E" w:rsidRPr="004D2C0C">
              <w:rPr>
                <w:rFonts w:eastAsia="標楷體" w:hint="eastAsia"/>
                <w:color w:val="FF0000"/>
                <w:sz w:val="28"/>
                <w:szCs w:val="28"/>
              </w:rPr>
              <w:t>採</w:t>
            </w:r>
            <w:proofErr w:type="gramEnd"/>
            <w:r w:rsidR="00664C6E" w:rsidRPr="004D2C0C">
              <w:rPr>
                <w:rFonts w:eastAsia="標楷體" w:hint="eastAsia"/>
                <w:color w:val="FF0000"/>
                <w:sz w:val="28"/>
                <w:szCs w:val="28"/>
              </w:rPr>
              <w:t>計等級』參考規範』</w:t>
            </w:r>
            <w:r w:rsidR="00BD4ED5" w:rsidRPr="004D2C0C">
              <w:rPr>
                <w:rFonts w:eastAsia="標楷體"/>
                <w:color w:val="000000" w:themeColor="text1"/>
                <w:sz w:val="28"/>
                <w:szCs w:val="28"/>
              </w:rPr>
              <w:t>…</w:t>
            </w:r>
            <w:proofErr w:type="gramStart"/>
            <w:r w:rsidR="00BD4ED5" w:rsidRPr="004D2C0C">
              <w:rPr>
                <w:rFonts w:eastAsia="標楷體"/>
                <w:color w:val="000000" w:themeColor="text1"/>
                <w:sz w:val="28"/>
                <w:szCs w:val="28"/>
              </w:rPr>
              <w:t>…</w:t>
            </w:r>
            <w:proofErr w:type="gramEnd"/>
            <w:r w:rsidR="00BD4ED5" w:rsidRPr="004D2C0C">
              <w:rPr>
                <w:rFonts w:eastAsia="標楷體" w:hint="eastAsia"/>
                <w:color w:val="000000" w:themeColor="text1"/>
                <w:sz w:val="28"/>
                <w:szCs w:val="28"/>
              </w:rPr>
              <w:t>.</w:t>
            </w:r>
            <w:r w:rsidR="00664C6E" w:rsidRPr="004D2C0C">
              <w:rPr>
                <w:rFonts w:eastAsia="標楷體"/>
                <w:sz w:val="28"/>
                <w:szCs w:val="28"/>
              </w:rPr>
              <w:t>。</w:t>
            </w:r>
          </w:p>
        </w:tc>
        <w:tc>
          <w:tcPr>
            <w:tcW w:w="3420" w:type="dxa"/>
            <w:tcBorders>
              <w:top w:val="single" w:sz="4" w:space="0" w:color="auto"/>
              <w:left w:val="single" w:sz="4" w:space="0" w:color="auto"/>
              <w:bottom w:val="single" w:sz="4" w:space="0" w:color="auto"/>
              <w:right w:val="single" w:sz="4" w:space="0" w:color="auto"/>
            </w:tcBorders>
          </w:tcPr>
          <w:p w14:paraId="08B45BF4" w14:textId="77777777" w:rsidR="00664C6E" w:rsidRPr="004D2C0C" w:rsidRDefault="00664C6E" w:rsidP="00664C6E">
            <w:pPr>
              <w:pStyle w:val="21"/>
              <w:spacing w:after="0" w:line="240" w:lineRule="auto"/>
              <w:ind w:leftChars="0" w:left="420" w:hangingChars="150" w:hanging="420"/>
              <w:rPr>
                <w:rFonts w:eastAsia="標楷體"/>
                <w:sz w:val="28"/>
                <w:szCs w:val="28"/>
              </w:rPr>
            </w:pPr>
            <w:r w:rsidRPr="004D2C0C">
              <w:rPr>
                <w:rFonts w:eastAsia="標楷體"/>
                <w:sz w:val="28"/>
                <w:szCs w:val="28"/>
              </w:rPr>
              <w:lastRenderedPageBreak/>
              <w:t>五、研究：</w:t>
            </w:r>
          </w:p>
          <w:p w14:paraId="0A385EA9" w14:textId="77777777" w:rsidR="00664C6E" w:rsidRPr="004D2C0C" w:rsidRDefault="00664C6E" w:rsidP="00664C6E">
            <w:pPr>
              <w:pStyle w:val="21"/>
              <w:spacing w:after="0" w:line="240" w:lineRule="auto"/>
              <w:ind w:leftChars="210" w:left="680" w:hangingChars="63" w:hanging="176"/>
              <w:rPr>
                <w:rFonts w:eastAsia="標楷體"/>
                <w:sz w:val="28"/>
                <w:szCs w:val="28"/>
              </w:rPr>
            </w:pPr>
            <w:r w:rsidRPr="004D2C0C">
              <w:rPr>
                <w:rFonts w:eastAsia="標楷體"/>
                <w:sz w:val="28"/>
                <w:szCs w:val="28"/>
              </w:rPr>
              <w:t>1.</w:t>
            </w:r>
            <w:r w:rsidRPr="004D2C0C">
              <w:rPr>
                <w:rFonts w:eastAsia="標楷體"/>
                <w:sz w:val="28"/>
                <w:szCs w:val="28"/>
              </w:rPr>
              <w:t>研究能力依據申請人代表著作及參考著作評量。代表著作及參考</w:t>
            </w:r>
            <w:proofErr w:type="gramStart"/>
            <w:r w:rsidRPr="004D2C0C">
              <w:rPr>
                <w:rFonts w:eastAsia="標楷體"/>
                <w:sz w:val="28"/>
                <w:szCs w:val="28"/>
              </w:rPr>
              <w:t>著作</w:t>
            </w:r>
            <w:r w:rsidRPr="004D2C0C">
              <w:rPr>
                <w:rFonts w:eastAsia="標楷體" w:hint="eastAsia"/>
                <w:sz w:val="28"/>
                <w:szCs w:val="28"/>
              </w:rPr>
              <w:t>均</w:t>
            </w:r>
            <w:r w:rsidRPr="004D2C0C">
              <w:rPr>
                <w:rFonts w:eastAsia="標楷體"/>
                <w:sz w:val="28"/>
                <w:szCs w:val="28"/>
              </w:rPr>
              <w:t>需符合</w:t>
            </w:r>
            <w:proofErr w:type="gramEnd"/>
            <w:r w:rsidRPr="004D2C0C">
              <w:rPr>
                <w:rFonts w:eastAsia="標楷體"/>
                <w:sz w:val="28"/>
                <w:szCs w:val="28"/>
              </w:rPr>
              <w:t>「輔仁大學教師升等辦法」第</w:t>
            </w:r>
            <w:r w:rsidRPr="004D2C0C">
              <w:rPr>
                <w:rFonts w:eastAsia="標楷體" w:hint="eastAsia"/>
                <w:sz w:val="28"/>
                <w:szCs w:val="28"/>
              </w:rPr>
              <w:t>二條及第</w:t>
            </w:r>
            <w:r w:rsidRPr="004D2C0C">
              <w:rPr>
                <w:rFonts w:eastAsia="標楷體"/>
                <w:sz w:val="28"/>
                <w:szCs w:val="28"/>
              </w:rPr>
              <w:t>六條</w:t>
            </w:r>
            <w:r w:rsidRPr="004D2C0C">
              <w:rPr>
                <w:rFonts w:eastAsia="標楷體" w:hint="eastAsia"/>
                <w:sz w:val="28"/>
                <w:szCs w:val="28"/>
              </w:rPr>
              <w:t>、「輔仁大學民生學院教師升等評審辦法」第四條、「民生學院各系發表積分</w:t>
            </w:r>
            <w:proofErr w:type="gramStart"/>
            <w:r w:rsidRPr="004D2C0C">
              <w:rPr>
                <w:rFonts w:eastAsia="標楷體" w:hint="eastAsia"/>
                <w:sz w:val="28"/>
                <w:szCs w:val="28"/>
              </w:rPr>
              <w:t>採</w:t>
            </w:r>
            <w:proofErr w:type="gramEnd"/>
            <w:r w:rsidRPr="004D2C0C">
              <w:rPr>
                <w:rFonts w:eastAsia="標楷體" w:hint="eastAsia"/>
                <w:sz w:val="28"/>
                <w:szCs w:val="28"/>
              </w:rPr>
              <w:t>計等級參考規範」。</w:t>
            </w:r>
          </w:p>
          <w:p w14:paraId="2F9423A8" w14:textId="77777777" w:rsidR="00664C6E" w:rsidRPr="004D2C0C" w:rsidRDefault="00664C6E" w:rsidP="00664C6E">
            <w:pPr>
              <w:pStyle w:val="21"/>
              <w:spacing w:after="0" w:line="240" w:lineRule="auto"/>
              <w:ind w:leftChars="211" w:left="1114" w:hangingChars="217" w:hanging="608"/>
              <w:rPr>
                <w:rFonts w:eastAsia="標楷體"/>
                <w:sz w:val="28"/>
                <w:szCs w:val="28"/>
              </w:rPr>
            </w:pPr>
          </w:p>
          <w:p w14:paraId="6128A897" w14:textId="77777777" w:rsidR="00664C6E" w:rsidRPr="004D2C0C" w:rsidRDefault="00664C6E" w:rsidP="00664C6E">
            <w:pPr>
              <w:pStyle w:val="21"/>
              <w:spacing w:after="0" w:line="240" w:lineRule="auto"/>
              <w:ind w:leftChars="211" w:left="1114" w:hangingChars="217" w:hanging="608"/>
              <w:rPr>
                <w:rFonts w:eastAsia="標楷體"/>
                <w:sz w:val="28"/>
                <w:szCs w:val="28"/>
              </w:rPr>
            </w:pPr>
          </w:p>
          <w:p w14:paraId="6FD88A69" w14:textId="77777777" w:rsidR="00664C6E" w:rsidRPr="004D2C0C" w:rsidRDefault="00664C6E" w:rsidP="00664C6E">
            <w:pPr>
              <w:pStyle w:val="21"/>
              <w:spacing w:after="0" w:line="240" w:lineRule="auto"/>
              <w:ind w:leftChars="211" w:left="1114" w:hangingChars="217" w:hanging="608"/>
              <w:rPr>
                <w:rFonts w:eastAsia="標楷體"/>
                <w:sz w:val="28"/>
                <w:szCs w:val="28"/>
              </w:rPr>
            </w:pPr>
          </w:p>
          <w:p w14:paraId="6142CB03" w14:textId="77777777" w:rsidR="00664C6E" w:rsidRPr="004D2C0C" w:rsidRDefault="00664C6E" w:rsidP="00664C6E">
            <w:pPr>
              <w:pStyle w:val="21"/>
              <w:spacing w:after="0" w:line="240" w:lineRule="auto"/>
              <w:ind w:leftChars="211" w:left="1114" w:hangingChars="217" w:hanging="608"/>
              <w:rPr>
                <w:rFonts w:eastAsia="標楷體"/>
                <w:sz w:val="28"/>
                <w:szCs w:val="28"/>
              </w:rPr>
            </w:pPr>
          </w:p>
          <w:p w14:paraId="5A732F72" w14:textId="77777777" w:rsidR="00664C6E" w:rsidRPr="004D2C0C" w:rsidRDefault="00664C6E" w:rsidP="00664C6E">
            <w:pPr>
              <w:pStyle w:val="21"/>
              <w:spacing w:after="0" w:line="240" w:lineRule="auto"/>
              <w:ind w:leftChars="211" w:left="1114" w:hangingChars="217" w:hanging="608"/>
              <w:rPr>
                <w:rFonts w:eastAsia="標楷體"/>
                <w:sz w:val="28"/>
                <w:szCs w:val="28"/>
              </w:rPr>
            </w:pPr>
            <w:r w:rsidRPr="004D2C0C">
              <w:rPr>
                <w:rFonts w:eastAsia="標楷體"/>
                <w:sz w:val="28"/>
                <w:szCs w:val="28"/>
              </w:rPr>
              <w:lastRenderedPageBreak/>
              <w:t>2.</w:t>
            </w:r>
            <w:r w:rsidRPr="004D2C0C">
              <w:rPr>
                <w:rFonts w:eastAsia="標楷體"/>
                <w:sz w:val="28"/>
                <w:szCs w:val="28"/>
              </w:rPr>
              <w:t>代表著作：</w:t>
            </w:r>
          </w:p>
          <w:p w14:paraId="0FEFFDD6" w14:textId="77777777" w:rsidR="00664C6E" w:rsidRPr="004D2C0C" w:rsidRDefault="00664C6E" w:rsidP="00664C6E">
            <w:pPr>
              <w:pStyle w:val="21"/>
              <w:spacing w:after="0" w:line="240" w:lineRule="auto"/>
              <w:ind w:leftChars="349" w:left="1258" w:hangingChars="150" w:hanging="420"/>
              <w:rPr>
                <w:rFonts w:eastAsia="標楷體"/>
                <w:sz w:val="28"/>
                <w:szCs w:val="28"/>
              </w:rPr>
            </w:pPr>
            <w:r w:rsidRPr="004D2C0C">
              <w:rPr>
                <w:rFonts w:eastAsia="標楷體"/>
                <w:sz w:val="28"/>
                <w:szCs w:val="28"/>
              </w:rPr>
              <w:t>(1)</w:t>
            </w:r>
            <w:r w:rsidRPr="004D2C0C">
              <w:rPr>
                <w:rFonts w:eastAsia="標楷體"/>
                <w:sz w:val="28"/>
                <w:szCs w:val="28"/>
              </w:rPr>
              <w:t>申請升等副教授者</w:t>
            </w:r>
            <w:r w:rsidR="00AF7222" w:rsidRPr="004D2C0C">
              <w:rPr>
                <w:rFonts w:eastAsia="標楷體"/>
                <w:sz w:val="28"/>
                <w:szCs w:val="28"/>
              </w:rPr>
              <w:t>…</w:t>
            </w:r>
            <w:r w:rsidR="00AF7222" w:rsidRPr="004D2C0C">
              <w:rPr>
                <w:rFonts w:eastAsia="標楷體" w:hint="eastAsia"/>
                <w:sz w:val="28"/>
                <w:szCs w:val="28"/>
              </w:rPr>
              <w:t>.</w:t>
            </w:r>
            <w:r w:rsidRPr="004D2C0C">
              <w:rPr>
                <w:rFonts w:eastAsia="標楷體"/>
                <w:sz w:val="28"/>
                <w:szCs w:val="28"/>
              </w:rPr>
              <w:t>且以上之代表著作須為本系評定為五分者為限。</w:t>
            </w:r>
          </w:p>
          <w:p w14:paraId="04E9B0EB" w14:textId="77777777" w:rsidR="00664C6E" w:rsidRPr="004D2C0C" w:rsidRDefault="00664C6E" w:rsidP="00664C6E">
            <w:pPr>
              <w:pStyle w:val="21"/>
              <w:spacing w:after="0" w:line="240" w:lineRule="auto"/>
              <w:ind w:leftChars="350" w:left="1318" w:hanging="478"/>
              <w:rPr>
                <w:rFonts w:eastAsia="標楷體"/>
                <w:sz w:val="28"/>
                <w:szCs w:val="28"/>
              </w:rPr>
            </w:pPr>
            <w:r w:rsidRPr="004D2C0C">
              <w:rPr>
                <w:rFonts w:eastAsia="標楷體"/>
                <w:sz w:val="28"/>
                <w:szCs w:val="28"/>
              </w:rPr>
              <w:t>(2)</w:t>
            </w:r>
            <w:r w:rsidRPr="004D2C0C">
              <w:rPr>
                <w:rFonts w:eastAsia="標楷體"/>
                <w:sz w:val="28"/>
                <w:szCs w:val="28"/>
              </w:rPr>
              <w:t>代表著作應以輔仁大學名義發表，且為送審人取得前一等級</w:t>
            </w:r>
            <w:r w:rsidR="00AF7222" w:rsidRPr="004D2C0C">
              <w:rPr>
                <w:rFonts w:eastAsia="標楷體"/>
                <w:sz w:val="28"/>
                <w:szCs w:val="28"/>
              </w:rPr>
              <w:t>…</w:t>
            </w:r>
            <w:proofErr w:type="gramStart"/>
            <w:r w:rsidR="00AF7222" w:rsidRPr="004D2C0C">
              <w:rPr>
                <w:rFonts w:eastAsia="標楷體"/>
                <w:sz w:val="28"/>
                <w:szCs w:val="28"/>
              </w:rPr>
              <w:t>…</w:t>
            </w:r>
            <w:proofErr w:type="gramEnd"/>
            <w:r w:rsidRPr="004D2C0C">
              <w:rPr>
                <w:rFonts w:eastAsia="標楷體"/>
                <w:sz w:val="28"/>
                <w:szCs w:val="28"/>
              </w:rPr>
              <w:t>。</w:t>
            </w:r>
          </w:p>
          <w:p w14:paraId="1434E75D" w14:textId="77777777" w:rsidR="00664C6E" w:rsidRPr="004D2C0C" w:rsidRDefault="000D745E" w:rsidP="00664C6E">
            <w:pPr>
              <w:pStyle w:val="21"/>
              <w:spacing w:after="0" w:line="240" w:lineRule="auto"/>
              <w:ind w:leftChars="210" w:left="680" w:hangingChars="63" w:hanging="176"/>
              <w:rPr>
                <w:rFonts w:eastAsia="標楷體"/>
                <w:sz w:val="28"/>
                <w:szCs w:val="28"/>
                <w:u w:val="single"/>
              </w:rPr>
            </w:pPr>
            <w:r w:rsidRPr="004D2C0C">
              <w:rPr>
                <w:rFonts w:eastAsia="標楷體" w:hint="eastAsia"/>
                <w:sz w:val="28"/>
                <w:szCs w:val="28"/>
                <w:u w:val="single"/>
              </w:rPr>
              <w:t>3</w:t>
            </w:r>
            <w:r w:rsidR="00867708" w:rsidRPr="004D2C0C">
              <w:rPr>
                <w:rFonts w:eastAsia="標楷體" w:hint="eastAsia"/>
                <w:sz w:val="28"/>
                <w:szCs w:val="28"/>
                <w:u w:val="single"/>
              </w:rPr>
              <w:t>.</w:t>
            </w:r>
            <w:r w:rsidR="00EF598C" w:rsidRPr="004D2C0C">
              <w:rPr>
                <w:rFonts w:eastAsia="標楷體"/>
                <w:sz w:val="28"/>
                <w:szCs w:val="28"/>
              </w:rPr>
              <w:t>…</w:t>
            </w:r>
            <w:r w:rsidR="00EF598C" w:rsidRPr="004D2C0C">
              <w:rPr>
                <w:rFonts w:eastAsia="標楷體" w:hint="eastAsia"/>
                <w:sz w:val="28"/>
                <w:szCs w:val="28"/>
              </w:rPr>
              <w:t>..</w:t>
            </w:r>
            <w:r w:rsidR="00EF598C" w:rsidRPr="004D2C0C">
              <w:rPr>
                <w:rFonts w:eastAsia="標楷體" w:hint="eastAsia"/>
                <w:sz w:val="28"/>
                <w:szCs w:val="28"/>
              </w:rPr>
              <w:t>略</w:t>
            </w:r>
            <w:r w:rsidR="00867708" w:rsidRPr="004D2C0C">
              <w:rPr>
                <w:rFonts w:eastAsia="標楷體"/>
                <w:sz w:val="28"/>
                <w:szCs w:val="28"/>
              </w:rPr>
              <w:t>。</w:t>
            </w:r>
          </w:p>
          <w:p w14:paraId="4C9C92E8" w14:textId="77777777" w:rsidR="00AD15A7" w:rsidRPr="004D2C0C" w:rsidRDefault="00664C6E" w:rsidP="00BD4ED5">
            <w:pPr>
              <w:pStyle w:val="21"/>
              <w:spacing w:after="0" w:line="240" w:lineRule="auto"/>
              <w:ind w:leftChars="210" w:left="680" w:hangingChars="63" w:hanging="176"/>
              <w:rPr>
                <w:rFonts w:ascii="標楷體" w:eastAsia="標楷體" w:hAnsi="標楷體"/>
                <w:color w:val="FF0000"/>
                <w:szCs w:val="24"/>
              </w:rPr>
            </w:pPr>
            <w:r w:rsidRPr="004D2C0C">
              <w:rPr>
                <w:rFonts w:eastAsia="標楷體"/>
                <w:sz w:val="28"/>
                <w:szCs w:val="28"/>
              </w:rPr>
              <w:t>4.</w:t>
            </w:r>
            <w:r w:rsidRPr="004D2C0C">
              <w:rPr>
                <w:rFonts w:eastAsia="標楷體"/>
                <w:sz w:val="28"/>
                <w:szCs w:val="28"/>
              </w:rPr>
              <w:t>著作積分計算，依</w:t>
            </w:r>
            <w:r w:rsidRPr="004D2C0C">
              <w:rPr>
                <w:rFonts w:eastAsia="標楷體" w:hint="eastAsia"/>
                <w:sz w:val="28"/>
                <w:szCs w:val="28"/>
              </w:rPr>
              <w:t>『民生學院各系發表積分</w:t>
            </w:r>
            <w:proofErr w:type="gramStart"/>
            <w:r w:rsidRPr="004D2C0C">
              <w:rPr>
                <w:rFonts w:eastAsia="標楷體" w:hint="eastAsia"/>
                <w:sz w:val="28"/>
                <w:szCs w:val="28"/>
              </w:rPr>
              <w:t>採</w:t>
            </w:r>
            <w:proofErr w:type="gramEnd"/>
            <w:r w:rsidRPr="004D2C0C">
              <w:rPr>
                <w:rFonts w:eastAsia="標楷體" w:hint="eastAsia"/>
                <w:sz w:val="28"/>
                <w:szCs w:val="28"/>
              </w:rPr>
              <w:t>計等級參考規範』</w:t>
            </w:r>
            <w:r w:rsidR="00BD4ED5" w:rsidRPr="004D2C0C">
              <w:rPr>
                <w:rFonts w:eastAsia="標楷體"/>
                <w:sz w:val="28"/>
                <w:szCs w:val="28"/>
              </w:rPr>
              <w:t>…</w:t>
            </w:r>
            <w:proofErr w:type="gramStart"/>
            <w:r w:rsidR="00BD4ED5" w:rsidRPr="004D2C0C">
              <w:rPr>
                <w:rFonts w:eastAsia="標楷體"/>
                <w:sz w:val="28"/>
                <w:szCs w:val="28"/>
              </w:rPr>
              <w:t>…</w:t>
            </w:r>
            <w:proofErr w:type="gramEnd"/>
            <w:r w:rsidR="00BD4ED5" w:rsidRPr="004D2C0C">
              <w:rPr>
                <w:rFonts w:eastAsia="標楷體" w:hint="eastAsia"/>
                <w:sz w:val="28"/>
                <w:szCs w:val="28"/>
              </w:rPr>
              <w:t>..</w:t>
            </w:r>
            <w:r w:rsidRPr="004D2C0C">
              <w:rPr>
                <w:rFonts w:eastAsia="標楷體"/>
                <w:sz w:val="28"/>
                <w:szCs w:val="28"/>
              </w:rPr>
              <w:t>。</w:t>
            </w:r>
          </w:p>
        </w:tc>
        <w:tc>
          <w:tcPr>
            <w:tcW w:w="1980" w:type="dxa"/>
            <w:tcBorders>
              <w:top w:val="single" w:sz="4" w:space="0" w:color="auto"/>
              <w:left w:val="single" w:sz="4" w:space="0" w:color="auto"/>
              <w:bottom w:val="single" w:sz="4" w:space="0" w:color="auto"/>
              <w:right w:val="single" w:sz="4" w:space="0" w:color="auto"/>
            </w:tcBorders>
            <w:hideMark/>
          </w:tcPr>
          <w:p w14:paraId="2DBCA9FF" w14:textId="77777777" w:rsidR="00AD15A7" w:rsidRPr="004D2C0C" w:rsidRDefault="00296023" w:rsidP="00296023">
            <w:pPr>
              <w:adjustRightInd/>
              <w:spacing w:line="240" w:lineRule="auto"/>
              <w:ind w:left="-20" w:right="-20"/>
              <w:textAlignment w:val="auto"/>
              <w:rPr>
                <w:rFonts w:ascii="標楷體" w:eastAsia="標楷體" w:hAnsi="標楷體"/>
                <w:color w:val="FF0000"/>
                <w:szCs w:val="24"/>
              </w:rPr>
            </w:pPr>
            <w:r w:rsidRPr="004D2C0C">
              <w:rPr>
                <w:rFonts w:ascii="標楷體" w:eastAsia="標楷體" w:hAnsi="標楷體" w:hint="eastAsia"/>
                <w:color w:val="FF0000"/>
                <w:szCs w:val="24"/>
              </w:rPr>
              <w:lastRenderedPageBreak/>
              <w:t>調整</w:t>
            </w:r>
            <w:r w:rsidR="00664C6E" w:rsidRPr="004D2C0C">
              <w:rPr>
                <w:rFonts w:ascii="標楷體" w:eastAsia="標楷體" w:hAnsi="標楷體" w:hint="eastAsia"/>
                <w:color w:val="FF0000"/>
                <w:szCs w:val="24"/>
              </w:rPr>
              <w:t>條文項次</w:t>
            </w:r>
            <w:r w:rsidR="00AD15A7" w:rsidRPr="004D2C0C">
              <w:rPr>
                <w:rFonts w:ascii="標楷體" w:eastAsia="標楷體" w:hAnsi="標楷體" w:hint="eastAsia"/>
                <w:color w:val="FF0000"/>
                <w:szCs w:val="24"/>
              </w:rPr>
              <w:t>。</w:t>
            </w:r>
          </w:p>
          <w:p w14:paraId="39D25BB3" w14:textId="77777777" w:rsidR="00664C6E" w:rsidRPr="004D2C0C" w:rsidRDefault="00664C6E" w:rsidP="00296023">
            <w:pPr>
              <w:adjustRightInd/>
              <w:spacing w:line="240" w:lineRule="auto"/>
              <w:ind w:left="-20" w:right="-20"/>
              <w:textAlignment w:val="auto"/>
              <w:rPr>
                <w:rFonts w:ascii="標楷體" w:eastAsia="標楷體" w:hAnsi="標楷體"/>
                <w:color w:val="FF0000"/>
                <w:szCs w:val="24"/>
              </w:rPr>
            </w:pPr>
          </w:p>
          <w:p w14:paraId="5614C77B" w14:textId="77777777" w:rsidR="00664C6E" w:rsidRPr="004D2C0C" w:rsidRDefault="00664C6E" w:rsidP="00296023">
            <w:pPr>
              <w:adjustRightInd/>
              <w:spacing w:line="240" w:lineRule="auto"/>
              <w:ind w:left="-20" w:right="-20"/>
              <w:textAlignment w:val="auto"/>
              <w:rPr>
                <w:rFonts w:ascii="標楷體" w:eastAsia="標楷體" w:hAnsi="標楷體"/>
                <w:color w:val="FF0000"/>
                <w:szCs w:val="24"/>
              </w:rPr>
            </w:pPr>
            <w:r w:rsidRPr="004D2C0C">
              <w:rPr>
                <w:rFonts w:ascii="標楷體" w:eastAsia="標楷體" w:hAnsi="標楷體" w:hint="eastAsia"/>
                <w:color w:val="FF0000"/>
                <w:szCs w:val="24"/>
              </w:rPr>
              <w:t>增訂送審著作類別等，調整依據之條文及</w:t>
            </w:r>
            <w:r w:rsidR="000D745E" w:rsidRPr="004D2C0C">
              <w:rPr>
                <w:rFonts w:ascii="標楷體" w:eastAsia="標楷體" w:hAnsi="標楷體" w:hint="eastAsia"/>
                <w:color w:val="FF0000"/>
                <w:szCs w:val="24"/>
              </w:rPr>
              <w:t>更正</w:t>
            </w:r>
            <w:r w:rsidRPr="004D2C0C">
              <w:rPr>
                <w:rFonts w:ascii="標楷體" w:eastAsia="標楷體" w:hAnsi="標楷體" w:hint="eastAsia"/>
                <w:color w:val="FF0000"/>
                <w:szCs w:val="24"/>
              </w:rPr>
              <w:t>辦法名稱。</w:t>
            </w:r>
          </w:p>
          <w:p w14:paraId="76359146" w14:textId="77777777" w:rsidR="00664C6E" w:rsidRPr="004D2C0C" w:rsidRDefault="00664C6E" w:rsidP="00296023">
            <w:pPr>
              <w:adjustRightInd/>
              <w:spacing w:line="240" w:lineRule="auto"/>
              <w:ind w:left="-20" w:right="-20"/>
              <w:textAlignment w:val="auto"/>
              <w:rPr>
                <w:rFonts w:ascii="標楷體" w:eastAsia="標楷體" w:hAnsi="標楷體"/>
                <w:color w:val="FF0000"/>
                <w:szCs w:val="24"/>
              </w:rPr>
            </w:pPr>
          </w:p>
          <w:p w14:paraId="0013113C" w14:textId="77777777" w:rsidR="00664C6E" w:rsidRPr="004D2C0C" w:rsidRDefault="00664C6E" w:rsidP="00296023">
            <w:pPr>
              <w:adjustRightInd/>
              <w:spacing w:line="240" w:lineRule="auto"/>
              <w:ind w:left="-20" w:right="-20"/>
              <w:textAlignment w:val="auto"/>
              <w:rPr>
                <w:rFonts w:ascii="標楷體" w:eastAsia="標楷體" w:hAnsi="標楷體"/>
                <w:color w:val="FF0000"/>
                <w:szCs w:val="24"/>
              </w:rPr>
            </w:pPr>
          </w:p>
          <w:p w14:paraId="7688E65D" w14:textId="77777777" w:rsidR="00664C6E" w:rsidRPr="004D2C0C" w:rsidRDefault="00664C6E" w:rsidP="00296023">
            <w:pPr>
              <w:adjustRightInd/>
              <w:spacing w:line="240" w:lineRule="auto"/>
              <w:ind w:left="-20" w:right="-20"/>
              <w:textAlignment w:val="auto"/>
              <w:rPr>
                <w:rFonts w:ascii="標楷體" w:eastAsia="標楷體" w:hAnsi="標楷體"/>
                <w:color w:val="FF0000"/>
                <w:szCs w:val="24"/>
              </w:rPr>
            </w:pPr>
          </w:p>
          <w:p w14:paraId="7CFA6722" w14:textId="77777777" w:rsidR="00664C6E" w:rsidRPr="004D2C0C" w:rsidRDefault="00664C6E" w:rsidP="00296023">
            <w:pPr>
              <w:adjustRightInd/>
              <w:spacing w:line="240" w:lineRule="auto"/>
              <w:ind w:left="-20" w:right="-20"/>
              <w:textAlignment w:val="auto"/>
              <w:rPr>
                <w:rFonts w:ascii="標楷體" w:eastAsia="標楷體" w:hAnsi="標楷體"/>
                <w:color w:val="FF0000"/>
                <w:szCs w:val="24"/>
              </w:rPr>
            </w:pPr>
          </w:p>
          <w:p w14:paraId="2D5379D1" w14:textId="77777777" w:rsidR="00664C6E" w:rsidRPr="004D2C0C" w:rsidRDefault="00664C6E" w:rsidP="00296023">
            <w:pPr>
              <w:adjustRightInd/>
              <w:spacing w:line="240" w:lineRule="auto"/>
              <w:ind w:left="-20" w:right="-20"/>
              <w:textAlignment w:val="auto"/>
              <w:rPr>
                <w:rFonts w:ascii="標楷體" w:eastAsia="標楷體" w:hAnsi="標楷體"/>
                <w:color w:val="FF0000"/>
                <w:szCs w:val="24"/>
              </w:rPr>
            </w:pPr>
          </w:p>
          <w:p w14:paraId="76750124" w14:textId="77777777" w:rsidR="00664C6E" w:rsidRPr="004D2C0C" w:rsidRDefault="00664C6E" w:rsidP="00296023">
            <w:pPr>
              <w:adjustRightInd/>
              <w:spacing w:line="240" w:lineRule="auto"/>
              <w:ind w:left="-20" w:right="-20"/>
              <w:textAlignment w:val="auto"/>
              <w:rPr>
                <w:rFonts w:ascii="標楷體" w:eastAsia="標楷體" w:hAnsi="標楷體"/>
                <w:color w:val="FF0000"/>
                <w:szCs w:val="24"/>
              </w:rPr>
            </w:pPr>
          </w:p>
          <w:p w14:paraId="01B9C774" w14:textId="77777777" w:rsidR="00664C6E" w:rsidRPr="004D2C0C" w:rsidRDefault="00664C6E" w:rsidP="00296023">
            <w:pPr>
              <w:adjustRightInd/>
              <w:spacing w:line="240" w:lineRule="auto"/>
              <w:ind w:left="-20" w:right="-20"/>
              <w:textAlignment w:val="auto"/>
              <w:rPr>
                <w:rFonts w:ascii="標楷體" w:eastAsia="標楷體" w:hAnsi="標楷體"/>
                <w:color w:val="FF0000"/>
                <w:szCs w:val="24"/>
              </w:rPr>
            </w:pPr>
          </w:p>
          <w:p w14:paraId="4F256CE7" w14:textId="77777777" w:rsidR="00664C6E" w:rsidRPr="004D2C0C" w:rsidRDefault="00664C6E" w:rsidP="00296023">
            <w:pPr>
              <w:adjustRightInd/>
              <w:spacing w:line="240" w:lineRule="auto"/>
              <w:ind w:left="-20" w:right="-20"/>
              <w:textAlignment w:val="auto"/>
              <w:rPr>
                <w:rFonts w:ascii="標楷體" w:eastAsia="標楷體" w:hAnsi="標楷體"/>
                <w:color w:val="FF0000"/>
                <w:szCs w:val="24"/>
              </w:rPr>
            </w:pPr>
          </w:p>
          <w:p w14:paraId="69CFC9DC" w14:textId="77777777" w:rsidR="00664C6E" w:rsidRPr="004D2C0C" w:rsidRDefault="00664C6E" w:rsidP="00296023">
            <w:pPr>
              <w:adjustRightInd/>
              <w:spacing w:line="240" w:lineRule="auto"/>
              <w:ind w:left="-20" w:right="-20"/>
              <w:textAlignment w:val="auto"/>
              <w:rPr>
                <w:rFonts w:ascii="標楷體" w:eastAsia="標楷體" w:hAnsi="標楷體"/>
                <w:color w:val="FF0000"/>
                <w:szCs w:val="24"/>
              </w:rPr>
            </w:pPr>
          </w:p>
          <w:p w14:paraId="637FFC00" w14:textId="77777777" w:rsidR="00664C6E" w:rsidRPr="004D2C0C" w:rsidRDefault="00664C6E" w:rsidP="00296023">
            <w:pPr>
              <w:adjustRightInd/>
              <w:spacing w:line="240" w:lineRule="auto"/>
              <w:ind w:left="-20" w:right="-20"/>
              <w:textAlignment w:val="auto"/>
              <w:rPr>
                <w:rFonts w:ascii="標楷體" w:eastAsia="標楷體" w:hAnsi="標楷體"/>
                <w:color w:val="FF0000"/>
                <w:szCs w:val="24"/>
              </w:rPr>
            </w:pPr>
          </w:p>
          <w:p w14:paraId="3FF3683D" w14:textId="77777777" w:rsidR="00664C6E" w:rsidRPr="004D2C0C" w:rsidRDefault="00664C6E" w:rsidP="00296023">
            <w:pPr>
              <w:adjustRightInd/>
              <w:spacing w:line="240" w:lineRule="auto"/>
              <w:ind w:left="-20" w:right="-20"/>
              <w:textAlignment w:val="auto"/>
              <w:rPr>
                <w:rFonts w:ascii="標楷體" w:eastAsia="標楷體" w:hAnsi="標楷體"/>
                <w:color w:val="FF0000"/>
                <w:szCs w:val="24"/>
              </w:rPr>
            </w:pPr>
          </w:p>
          <w:p w14:paraId="77F2B6A3" w14:textId="77777777" w:rsidR="00664C6E" w:rsidRPr="004D2C0C" w:rsidRDefault="00664C6E" w:rsidP="00296023">
            <w:pPr>
              <w:adjustRightInd/>
              <w:spacing w:line="240" w:lineRule="auto"/>
              <w:ind w:left="-20" w:right="-20"/>
              <w:textAlignment w:val="auto"/>
              <w:rPr>
                <w:rFonts w:ascii="標楷體" w:eastAsia="標楷體" w:hAnsi="標楷體"/>
                <w:color w:val="FF0000"/>
                <w:szCs w:val="24"/>
              </w:rPr>
            </w:pPr>
          </w:p>
          <w:p w14:paraId="35557A2F" w14:textId="77777777" w:rsidR="00664C6E" w:rsidRPr="004D2C0C" w:rsidRDefault="00664C6E" w:rsidP="00296023">
            <w:pPr>
              <w:adjustRightInd/>
              <w:spacing w:line="240" w:lineRule="auto"/>
              <w:ind w:left="-20" w:right="-20"/>
              <w:textAlignment w:val="auto"/>
              <w:rPr>
                <w:rFonts w:ascii="標楷體" w:eastAsia="標楷體" w:hAnsi="標楷體"/>
                <w:color w:val="FF0000"/>
                <w:szCs w:val="24"/>
              </w:rPr>
            </w:pPr>
            <w:r w:rsidRPr="004D2C0C">
              <w:rPr>
                <w:rFonts w:ascii="標楷體" w:eastAsia="標楷體" w:hAnsi="標楷體" w:hint="eastAsia"/>
                <w:color w:val="FF0000"/>
                <w:szCs w:val="24"/>
              </w:rPr>
              <w:lastRenderedPageBreak/>
              <w:t>刪除部分文字</w:t>
            </w:r>
            <w:r w:rsidR="00AF7222" w:rsidRPr="004D2C0C">
              <w:rPr>
                <w:rFonts w:ascii="標楷體" w:eastAsia="標楷體" w:hAnsi="標楷體" w:hint="eastAsia"/>
                <w:color w:val="FF0000"/>
                <w:szCs w:val="24"/>
              </w:rPr>
              <w:t>並</w:t>
            </w:r>
            <w:r w:rsidR="000D745E" w:rsidRPr="004D2C0C">
              <w:rPr>
                <w:rFonts w:ascii="標楷體" w:eastAsia="標楷體" w:hAnsi="標楷體" w:hint="eastAsia"/>
                <w:color w:val="FF0000"/>
                <w:szCs w:val="24"/>
              </w:rPr>
              <w:t>調整文字說明放置之條文項次</w:t>
            </w:r>
            <w:r w:rsidRPr="004D2C0C">
              <w:rPr>
                <w:rFonts w:ascii="標楷體" w:eastAsia="標楷體" w:hAnsi="標楷體" w:hint="eastAsia"/>
                <w:color w:val="FF0000"/>
                <w:szCs w:val="24"/>
              </w:rPr>
              <w:t>。</w:t>
            </w:r>
          </w:p>
          <w:p w14:paraId="2B3D375D" w14:textId="77777777" w:rsidR="00664C6E" w:rsidRPr="004D2C0C" w:rsidRDefault="00664C6E" w:rsidP="00296023">
            <w:pPr>
              <w:adjustRightInd/>
              <w:spacing w:line="240" w:lineRule="auto"/>
              <w:ind w:left="-20" w:right="-20"/>
              <w:textAlignment w:val="auto"/>
              <w:rPr>
                <w:rFonts w:ascii="標楷體" w:eastAsia="標楷體" w:hAnsi="標楷體"/>
                <w:color w:val="FF0000"/>
                <w:szCs w:val="24"/>
              </w:rPr>
            </w:pPr>
          </w:p>
          <w:p w14:paraId="6681BFE7" w14:textId="77777777" w:rsidR="000D745E" w:rsidRPr="004D2C0C" w:rsidRDefault="000D745E" w:rsidP="00296023">
            <w:pPr>
              <w:adjustRightInd/>
              <w:spacing w:line="240" w:lineRule="auto"/>
              <w:ind w:left="-20" w:right="-20"/>
              <w:textAlignment w:val="auto"/>
              <w:rPr>
                <w:rFonts w:ascii="標楷體" w:eastAsia="標楷體" w:hAnsi="標楷體"/>
                <w:color w:val="FF0000"/>
                <w:szCs w:val="24"/>
              </w:rPr>
            </w:pPr>
          </w:p>
          <w:p w14:paraId="1AABE7F2" w14:textId="77777777" w:rsidR="000D745E" w:rsidRPr="004D2C0C" w:rsidRDefault="000D745E" w:rsidP="00296023">
            <w:pPr>
              <w:adjustRightInd/>
              <w:spacing w:line="240" w:lineRule="auto"/>
              <w:ind w:left="-20" w:right="-20"/>
              <w:textAlignment w:val="auto"/>
              <w:rPr>
                <w:rFonts w:ascii="標楷體" w:eastAsia="標楷體" w:hAnsi="標楷體"/>
                <w:color w:val="FF0000"/>
                <w:szCs w:val="24"/>
              </w:rPr>
            </w:pPr>
          </w:p>
          <w:p w14:paraId="4FEDFF63" w14:textId="77777777" w:rsidR="000D745E" w:rsidRPr="004D2C0C" w:rsidRDefault="000D745E" w:rsidP="00296023">
            <w:pPr>
              <w:adjustRightInd/>
              <w:spacing w:line="240" w:lineRule="auto"/>
              <w:ind w:left="-20" w:right="-20"/>
              <w:textAlignment w:val="auto"/>
              <w:rPr>
                <w:rFonts w:ascii="標楷體" w:eastAsia="標楷體" w:hAnsi="標楷體"/>
                <w:color w:val="FF0000"/>
                <w:szCs w:val="24"/>
              </w:rPr>
            </w:pPr>
          </w:p>
          <w:p w14:paraId="786B55F3" w14:textId="77777777" w:rsidR="000D745E" w:rsidRPr="004D2C0C" w:rsidRDefault="000D745E" w:rsidP="00296023">
            <w:pPr>
              <w:adjustRightInd/>
              <w:spacing w:line="240" w:lineRule="auto"/>
              <w:ind w:left="-20" w:right="-20"/>
              <w:textAlignment w:val="auto"/>
              <w:rPr>
                <w:rFonts w:ascii="標楷體" w:eastAsia="標楷體" w:hAnsi="標楷體"/>
                <w:color w:val="FF0000"/>
                <w:szCs w:val="24"/>
              </w:rPr>
            </w:pPr>
          </w:p>
          <w:p w14:paraId="48CD3513" w14:textId="77777777" w:rsidR="000D745E" w:rsidRPr="004D2C0C" w:rsidRDefault="000D745E" w:rsidP="00296023">
            <w:pPr>
              <w:adjustRightInd/>
              <w:spacing w:line="240" w:lineRule="auto"/>
              <w:ind w:left="-20" w:right="-20"/>
              <w:textAlignment w:val="auto"/>
              <w:rPr>
                <w:rFonts w:ascii="標楷體" w:eastAsia="標楷體" w:hAnsi="標楷體"/>
                <w:color w:val="FF0000"/>
                <w:szCs w:val="24"/>
              </w:rPr>
            </w:pPr>
          </w:p>
          <w:p w14:paraId="037A0607" w14:textId="77777777" w:rsidR="000D745E" w:rsidRPr="004D2C0C" w:rsidRDefault="000D745E" w:rsidP="00296023">
            <w:pPr>
              <w:adjustRightInd/>
              <w:spacing w:line="240" w:lineRule="auto"/>
              <w:ind w:left="-20" w:right="-20"/>
              <w:textAlignment w:val="auto"/>
              <w:rPr>
                <w:rFonts w:ascii="標楷體" w:eastAsia="標楷體" w:hAnsi="標楷體"/>
                <w:color w:val="FF0000"/>
                <w:szCs w:val="24"/>
              </w:rPr>
            </w:pPr>
          </w:p>
          <w:p w14:paraId="7B45F223" w14:textId="77777777" w:rsidR="000D745E" w:rsidRPr="004D2C0C" w:rsidRDefault="000D745E" w:rsidP="00296023">
            <w:pPr>
              <w:adjustRightInd/>
              <w:spacing w:line="240" w:lineRule="auto"/>
              <w:ind w:left="-20" w:right="-20"/>
              <w:textAlignment w:val="auto"/>
              <w:rPr>
                <w:rFonts w:ascii="標楷體" w:eastAsia="標楷體" w:hAnsi="標楷體"/>
                <w:color w:val="FF0000"/>
                <w:szCs w:val="24"/>
              </w:rPr>
            </w:pPr>
          </w:p>
          <w:p w14:paraId="45672060" w14:textId="77777777" w:rsidR="000D745E" w:rsidRPr="004D2C0C" w:rsidRDefault="000D745E" w:rsidP="00296023">
            <w:pPr>
              <w:adjustRightInd/>
              <w:spacing w:line="240" w:lineRule="auto"/>
              <w:ind w:left="-20" w:right="-20"/>
              <w:textAlignment w:val="auto"/>
              <w:rPr>
                <w:rFonts w:ascii="標楷體" w:eastAsia="標楷體" w:hAnsi="標楷體"/>
                <w:color w:val="FF0000"/>
                <w:szCs w:val="24"/>
              </w:rPr>
            </w:pPr>
          </w:p>
          <w:p w14:paraId="2051DFDD" w14:textId="77777777" w:rsidR="000D745E" w:rsidRPr="004D2C0C" w:rsidRDefault="000D745E" w:rsidP="00296023">
            <w:pPr>
              <w:adjustRightInd/>
              <w:spacing w:line="240" w:lineRule="auto"/>
              <w:ind w:left="-20" w:right="-20"/>
              <w:textAlignment w:val="auto"/>
              <w:rPr>
                <w:rFonts w:ascii="標楷體" w:eastAsia="標楷體" w:hAnsi="標楷體"/>
                <w:color w:val="FF0000"/>
                <w:szCs w:val="24"/>
              </w:rPr>
            </w:pPr>
          </w:p>
          <w:p w14:paraId="0005E4BA" w14:textId="77777777" w:rsidR="00BD4ED5" w:rsidRPr="004D2C0C" w:rsidRDefault="00BD4ED5" w:rsidP="00BD4ED5">
            <w:pPr>
              <w:adjustRightInd/>
              <w:spacing w:line="240" w:lineRule="auto"/>
              <w:ind w:left="-20" w:right="-20"/>
              <w:textAlignment w:val="auto"/>
              <w:rPr>
                <w:rFonts w:ascii="標楷體" w:eastAsia="標楷體" w:hAnsi="標楷體"/>
                <w:color w:val="FF0000"/>
                <w:szCs w:val="24"/>
              </w:rPr>
            </w:pPr>
          </w:p>
          <w:p w14:paraId="7D2452F6" w14:textId="77777777" w:rsidR="00867708" w:rsidRPr="004D2C0C" w:rsidRDefault="00867708" w:rsidP="00BD4ED5">
            <w:pPr>
              <w:adjustRightInd/>
              <w:spacing w:line="240" w:lineRule="auto"/>
              <w:ind w:left="-20" w:right="-20"/>
              <w:textAlignment w:val="auto"/>
              <w:rPr>
                <w:rFonts w:ascii="標楷體" w:eastAsia="標楷體" w:hAnsi="標楷體"/>
                <w:color w:val="FF0000"/>
                <w:szCs w:val="24"/>
              </w:rPr>
            </w:pPr>
          </w:p>
          <w:p w14:paraId="758FABB0" w14:textId="77777777" w:rsidR="00867708" w:rsidRPr="004D2C0C" w:rsidRDefault="00867708" w:rsidP="00BD4ED5">
            <w:pPr>
              <w:adjustRightInd/>
              <w:spacing w:line="240" w:lineRule="auto"/>
              <w:ind w:left="-20" w:right="-20"/>
              <w:textAlignment w:val="auto"/>
              <w:rPr>
                <w:rFonts w:ascii="標楷體" w:eastAsia="標楷體" w:hAnsi="標楷體"/>
                <w:color w:val="FF0000"/>
                <w:szCs w:val="24"/>
              </w:rPr>
            </w:pPr>
          </w:p>
          <w:p w14:paraId="23BA8489" w14:textId="77777777" w:rsidR="00867708" w:rsidRPr="004D2C0C" w:rsidRDefault="00867708" w:rsidP="00BD4ED5">
            <w:pPr>
              <w:adjustRightInd/>
              <w:spacing w:line="240" w:lineRule="auto"/>
              <w:ind w:left="-20" w:right="-20"/>
              <w:textAlignment w:val="auto"/>
              <w:rPr>
                <w:rFonts w:ascii="標楷體" w:eastAsia="標楷體" w:hAnsi="標楷體"/>
                <w:color w:val="FF0000"/>
                <w:szCs w:val="24"/>
              </w:rPr>
            </w:pPr>
          </w:p>
          <w:p w14:paraId="457B5083" w14:textId="77777777" w:rsidR="00867708" w:rsidRPr="004D2C0C" w:rsidRDefault="00867708" w:rsidP="00BD4ED5">
            <w:pPr>
              <w:adjustRightInd/>
              <w:spacing w:line="240" w:lineRule="auto"/>
              <w:ind w:left="-20" w:right="-20"/>
              <w:textAlignment w:val="auto"/>
              <w:rPr>
                <w:rFonts w:ascii="標楷體" w:eastAsia="標楷體" w:hAnsi="標楷體"/>
                <w:color w:val="FF0000"/>
                <w:szCs w:val="24"/>
              </w:rPr>
            </w:pPr>
          </w:p>
          <w:p w14:paraId="26CC9C24" w14:textId="77777777" w:rsidR="00867708" w:rsidRPr="004D2C0C" w:rsidRDefault="00867708" w:rsidP="00BD4ED5">
            <w:pPr>
              <w:adjustRightInd/>
              <w:spacing w:line="240" w:lineRule="auto"/>
              <w:ind w:left="-20" w:right="-20"/>
              <w:textAlignment w:val="auto"/>
              <w:rPr>
                <w:rFonts w:ascii="標楷體" w:eastAsia="標楷體" w:hAnsi="標楷體"/>
                <w:color w:val="FF0000"/>
                <w:szCs w:val="24"/>
              </w:rPr>
            </w:pPr>
          </w:p>
          <w:p w14:paraId="128ECFCC" w14:textId="77777777" w:rsidR="00867708" w:rsidRPr="004D2C0C" w:rsidRDefault="00867708" w:rsidP="00BD4ED5">
            <w:pPr>
              <w:adjustRightInd/>
              <w:spacing w:line="240" w:lineRule="auto"/>
              <w:ind w:left="-20" w:right="-20"/>
              <w:textAlignment w:val="auto"/>
              <w:rPr>
                <w:rFonts w:ascii="標楷體" w:eastAsia="標楷體" w:hAnsi="標楷體"/>
                <w:color w:val="FF0000"/>
                <w:szCs w:val="24"/>
              </w:rPr>
            </w:pPr>
          </w:p>
          <w:p w14:paraId="0BC679DD" w14:textId="77777777" w:rsidR="00867708" w:rsidRPr="004D2C0C" w:rsidRDefault="00867708" w:rsidP="00BD4ED5">
            <w:pPr>
              <w:adjustRightInd/>
              <w:spacing w:line="240" w:lineRule="auto"/>
              <w:ind w:left="-20" w:right="-20"/>
              <w:textAlignment w:val="auto"/>
              <w:rPr>
                <w:rFonts w:ascii="標楷體" w:eastAsia="標楷體" w:hAnsi="標楷體"/>
                <w:color w:val="FF0000"/>
                <w:szCs w:val="24"/>
              </w:rPr>
            </w:pPr>
          </w:p>
          <w:p w14:paraId="583DC1F7" w14:textId="77777777" w:rsidR="00867708" w:rsidRPr="004D2C0C" w:rsidRDefault="00867708" w:rsidP="00BD4ED5">
            <w:pPr>
              <w:adjustRightInd/>
              <w:spacing w:line="240" w:lineRule="auto"/>
              <w:ind w:left="-20" w:right="-20"/>
              <w:textAlignment w:val="auto"/>
              <w:rPr>
                <w:rFonts w:ascii="標楷體" w:eastAsia="標楷體" w:hAnsi="標楷體"/>
                <w:color w:val="FF0000"/>
                <w:szCs w:val="24"/>
              </w:rPr>
            </w:pPr>
          </w:p>
          <w:p w14:paraId="544700CA" w14:textId="77777777" w:rsidR="00867708" w:rsidRPr="004D2C0C" w:rsidRDefault="00867708" w:rsidP="00BD4ED5">
            <w:pPr>
              <w:adjustRightInd/>
              <w:spacing w:line="240" w:lineRule="auto"/>
              <w:ind w:left="-20" w:right="-20"/>
              <w:textAlignment w:val="auto"/>
              <w:rPr>
                <w:rFonts w:ascii="標楷體" w:eastAsia="標楷體" w:hAnsi="標楷體"/>
                <w:color w:val="FF0000"/>
                <w:szCs w:val="24"/>
              </w:rPr>
            </w:pPr>
          </w:p>
          <w:p w14:paraId="42F619FA" w14:textId="77777777" w:rsidR="00BD4ED5" w:rsidRPr="004D2C0C" w:rsidRDefault="00BD4ED5" w:rsidP="00BD4ED5">
            <w:pPr>
              <w:adjustRightInd/>
              <w:spacing w:line="240" w:lineRule="auto"/>
              <w:ind w:left="-20" w:right="-20"/>
              <w:textAlignment w:val="auto"/>
              <w:rPr>
                <w:rFonts w:ascii="標楷體" w:eastAsia="標楷體" w:hAnsi="標楷體"/>
                <w:color w:val="FF0000"/>
                <w:szCs w:val="24"/>
              </w:rPr>
            </w:pPr>
            <w:r w:rsidRPr="004D2C0C">
              <w:rPr>
                <w:rFonts w:ascii="標楷體" w:eastAsia="標楷體" w:hAnsi="標楷體" w:hint="eastAsia"/>
                <w:color w:val="FF0000"/>
                <w:szCs w:val="24"/>
              </w:rPr>
              <w:t>更正辦法名稱。</w:t>
            </w:r>
          </w:p>
          <w:p w14:paraId="764F686E" w14:textId="77777777" w:rsidR="000D745E" w:rsidRPr="004D2C0C" w:rsidRDefault="000D745E" w:rsidP="00296023">
            <w:pPr>
              <w:adjustRightInd/>
              <w:spacing w:line="240" w:lineRule="auto"/>
              <w:ind w:left="-20" w:right="-20"/>
              <w:textAlignment w:val="auto"/>
              <w:rPr>
                <w:rFonts w:ascii="標楷體" w:eastAsia="標楷體" w:hAnsi="標楷體"/>
                <w:color w:val="FF0000"/>
                <w:szCs w:val="24"/>
              </w:rPr>
            </w:pPr>
          </w:p>
          <w:p w14:paraId="5F663148" w14:textId="77777777" w:rsidR="000D745E" w:rsidRPr="004D2C0C" w:rsidRDefault="000D745E" w:rsidP="00296023">
            <w:pPr>
              <w:adjustRightInd/>
              <w:spacing w:line="240" w:lineRule="auto"/>
              <w:ind w:left="-20" w:right="-20"/>
              <w:textAlignment w:val="auto"/>
              <w:rPr>
                <w:rFonts w:ascii="標楷體" w:eastAsia="標楷體" w:hAnsi="標楷體"/>
                <w:color w:val="FF0000"/>
                <w:szCs w:val="24"/>
              </w:rPr>
            </w:pPr>
          </w:p>
          <w:p w14:paraId="6E7D7198" w14:textId="77777777" w:rsidR="00C6344E" w:rsidRPr="004D2C0C" w:rsidRDefault="00C6344E" w:rsidP="00296023">
            <w:pPr>
              <w:adjustRightInd/>
              <w:spacing w:line="240" w:lineRule="auto"/>
              <w:ind w:left="-20" w:right="-20"/>
              <w:textAlignment w:val="auto"/>
              <w:rPr>
                <w:rFonts w:ascii="標楷體" w:eastAsia="標楷體" w:hAnsi="標楷體"/>
                <w:color w:val="FF0000"/>
                <w:szCs w:val="24"/>
              </w:rPr>
            </w:pPr>
          </w:p>
        </w:tc>
      </w:tr>
      <w:tr w:rsidR="00B7740E" w:rsidRPr="004D2C0C" w14:paraId="667BB0ED" w14:textId="77777777" w:rsidTr="00627D8D">
        <w:tblPrEx>
          <w:tblLook w:val="04A0" w:firstRow="1" w:lastRow="0" w:firstColumn="1" w:lastColumn="0" w:noHBand="0" w:noVBand="1"/>
        </w:tblPrEx>
        <w:tc>
          <w:tcPr>
            <w:tcW w:w="1260" w:type="dxa"/>
            <w:shd w:val="clear" w:color="auto" w:fill="auto"/>
          </w:tcPr>
          <w:p w14:paraId="6E32D75D" w14:textId="77777777" w:rsidR="00B7740E" w:rsidRPr="004D2C0C" w:rsidRDefault="00B7740E" w:rsidP="001A35AC">
            <w:pPr>
              <w:adjustRightInd/>
              <w:spacing w:line="240" w:lineRule="auto"/>
              <w:ind w:leftChars="-20" w:left="-48" w:rightChars="-20" w:right="-48"/>
              <w:textAlignment w:val="auto"/>
              <w:rPr>
                <w:rFonts w:ascii="標楷體" w:eastAsia="標楷體" w:hAnsi="標楷體"/>
                <w:color w:val="FF0000"/>
                <w:szCs w:val="24"/>
              </w:rPr>
            </w:pPr>
          </w:p>
        </w:tc>
        <w:tc>
          <w:tcPr>
            <w:tcW w:w="3420" w:type="dxa"/>
            <w:shd w:val="clear" w:color="auto" w:fill="auto"/>
          </w:tcPr>
          <w:p w14:paraId="2F7CE9F2" w14:textId="77777777" w:rsidR="00B7740E" w:rsidRPr="004D2C0C" w:rsidRDefault="00C6344E" w:rsidP="00522E67">
            <w:pPr>
              <w:pStyle w:val="a6"/>
              <w:spacing w:line="240" w:lineRule="auto"/>
              <w:ind w:left="720" w:hanging="720"/>
              <w:rPr>
                <w:rFonts w:ascii="標楷體" w:eastAsia="標楷體" w:hAnsi="標楷體"/>
                <w:color w:val="FF0000"/>
                <w:szCs w:val="24"/>
              </w:rPr>
            </w:pPr>
            <w:r w:rsidRPr="004D2C0C">
              <w:rPr>
                <w:rFonts w:ascii="Times New Roman" w:eastAsia="標楷體" w:hint="eastAsia"/>
                <w:b w:val="0"/>
                <w:color w:val="FF0000"/>
                <w:sz w:val="28"/>
                <w:szCs w:val="28"/>
              </w:rPr>
              <w:t>(</w:t>
            </w:r>
            <w:r w:rsidRPr="004D2C0C">
              <w:rPr>
                <w:rFonts w:ascii="Times New Roman" w:eastAsia="標楷體" w:hint="eastAsia"/>
                <w:b w:val="0"/>
                <w:color w:val="FF0000"/>
                <w:sz w:val="28"/>
                <w:szCs w:val="28"/>
              </w:rPr>
              <w:t>二</w:t>
            </w:r>
            <w:r w:rsidRPr="004D2C0C">
              <w:rPr>
                <w:rFonts w:ascii="Times New Roman" w:eastAsia="標楷體" w:hint="eastAsia"/>
                <w:b w:val="0"/>
                <w:color w:val="FF0000"/>
                <w:sz w:val="28"/>
                <w:szCs w:val="28"/>
              </w:rPr>
              <w:t>)</w:t>
            </w:r>
            <w:r w:rsidRPr="004D2C0C">
              <w:rPr>
                <w:rFonts w:ascii="Times New Roman" w:eastAsia="標楷體"/>
                <w:b w:val="0"/>
                <w:sz w:val="28"/>
                <w:szCs w:val="28"/>
              </w:rPr>
              <w:t>教學、服務</w:t>
            </w:r>
            <w:r w:rsidRPr="004D2C0C">
              <w:rPr>
                <w:rFonts w:ascii="Times New Roman" w:eastAsia="標楷體"/>
                <w:b w:val="0"/>
                <w:sz w:val="28"/>
                <w:szCs w:val="28"/>
              </w:rPr>
              <w:t>(</w:t>
            </w:r>
            <w:r w:rsidRPr="004D2C0C">
              <w:rPr>
                <w:rFonts w:ascii="Times New Roman" w:eastAsia="標楷體"/>
                <w:b w:val="0"/>
                <w:sz w:val="28"/>
                <w:szCs w:val="28"/>
              </w:rPr>
              <w:t>含輔導</w:t>
            </w:r>
            <w:r w:rsidRPr="004D2C0C">
              <w:rPr>
                <w:rFonts w:ascii="Times New Roman" w:eastAsia="標楷體"/>
                <w:b w:val="0"/>
                <w:sz w:val="28"/>
                <w:szCs w:val="28"/>
              </w:rPr>
              <w:t>):</w:t>
            </w:r>
            <w:r w:rsidRPr="004D2C0C">
              <w:rPr>
                <w:rFonts w:ascii="Times New Roman" w:eastAsia="標楷體"/>
                <w:b w:val="0"/>
                <w:sz w:val="28"/>
                <w:szCs w:val="28"/>
              </w:rPr>
              <w:t>依</w:t>
            </w:r>
            <w:r w:rsidR="00522E67" w:rsidRPr="004D2C0C">
              <w:rPr>
                <w:rFonts w:ascii="Times New Roman" w:eastAsia="標楷體"/>
                <w:b w:val="0"/>
                <w:sz w:val="28"/>
                <w:szCs w:val="28"/>
              </w:rPr>
              <w:t>…</w:t>
            </w:r>
            <w:proofErr w:type="gramStart"/>
            <w:r w:rsidR="00522E67" w:rsidRPr="004D2C0C">
              <w:rPr>
                <w:rFonts w:ascii="Times New Roman" w:eastAsia="標楷體"/>
                <w:b w:val="0"/>
                <w:sz w:val="28"/>
                <w:szCs w:val="28"/>
              </w:rPr>
              <w:t>……</w:t>
            </w:r>
            <w:proofErr w:type="gramEnd"/>
            <w:r w:rsidR="00522E67" w:rsidRPr="004D2C0C">
              <w:rPr>
                <w:rFonts w:ascii="Times New Roman" w:eastAsia="標楷體" w:hint="eastAsia"/>
                <w:b w:val="0"/>
                <w:sz w:val="28"/>
                <w:szCs w:val="28"/>
              </w:rPr>
              <w:t>.</w:t>
            </w:r>
            <w:r w:rsidR="00522E67" w:rsidRPr="004D2C0C">
              <w:rPr>
                <w:rFonts w:ascii="Times New Roman" w:eastAsia="標楷體" w:hint="eastAsia"/>
                <w:b w:val="0"/>
                <w:sz w:val="28"/>
                <w:szCs w:val="28"/>
              </w:rPr>
              <w:t>略</w:t>
            </w:r>
          </w:p>
        </w:tc>
        <w:tc>
          <w:tcPr>
            <w:tcW w:w="3420" w:type="dxa"/>
            <w:shd w:val="clear" w:color="auto" w:fill="auto"/>
          </w:tcPr>
          <w:p w14:paraId="6627B6C3" w14:textId="77777777" w:rsidR="00B7740E" w:rsidRPr="004D2C0C" w:rsidRDefault="00C6344E" w:rsidP="00522E67">
            <w:pPr>
              <w:pStyle w:val="a6"/>
              <w:spacing w:line="240" w:lineRule="auto"/>
              <w:ind w:left="720" w:hanging="720"/>
              <w:rPr>
                <w:rFonts w:ascii="標楷體" w:eastAsia="標楷體" w:hAnsi="標楷體"/>
                <w:color w:val="FF0000"/>
                <w:szCs w:val="24"/>
              </w:rPr>
            </w:pPr>
            <w:r w:rsidRPr="004D2C0C">
              <w:rPr>
                <w:rFonts w:ascii="Times New Roman" w:eastAsia="標楷體"/>
                <w:b w:val="0"/>
                <w:sz w:val="28"/>
                <w:szCs w:val="28"/>
              </w:rPr>
              <w:t>六、教學、服務</w:t>
            </w:r>
            <w:r w:rsidRPr="004D2C0C">
              <w:rPr>
                <w:rFonts w:ascii="Times New Roman" w:eastAsia="標楷體"/>
                <w:b w:val="0"/>
                <w:sz w:val="28"/>
                <w:szCs w:val="28"/>
              </w:rPr>
              <w:t>(</w:t>
            </w:r>
            <w:r w:rsidRPr="004D2C0C">
              <w:rPr>
                <w:rFonts w:ascii="Times New Roman" w:eastAsia="標楷體"/>
                <w:b w:val="0"/>
                <w:sz w:val="28"/>
                <w:szCs w:val="28"/>
              </w:rPr>
              <w:t>含輔導</w:t>
            </w:r>
            <w:r w:rsidRPr="004D2C0C">
              <w:rPr>
                <w:rFonts w:ascii="Times New Roman" w:eastAsia="標楷體"/>
                <w:b w:val="0"/>
                <w:sz w:val="28"/>
                <w:szCs w:val="28"/>
              </w:rPr>
              <w:t>):</w:t>
            </w:r>
            <w:r w:rsidRPr="004D2C0C">
              <w:rPr>
                <w:rFonts w:ascii="Times New Roman" w:eastAsia="標楷體"/>
                <w:b w:val="0"/>
                <w:sz w:val="28"/>
                <w:szCs w:val="28"/>
              </w:rPr>
              <w:t>依</w:t>
            </w:r>
            <w:r w:rsidR="00522E67" w:rsidRPr="004D2C0C">
              <w:rPr>
                <w:rFonts w:ascii="Times New Roman" w:eastAsia="標楷體"/>
                <w:b w:val="0"/>
                <w:sz w:val="28"/>
                <w:szCs w:val="28"/>
              </w:rPr>
              <w:t>…</w:t>
            </w:r>
            <w:proofErr w:type="gramStart"/>
            <w:r w:rsidR="00522E67" w:rsidRPr="004D2C0C">
              <w:rPr>
                <w:rFonts w:ascii="Times New Roman" w:eastAsia="標楷體"/>
                <w:b w:val="0"/>
                <w:sz w:val="28"/>
                <w:szCs w:val="28"/>
              </w:rPr>
              <w:t>……</w:t>
            </w:r>
            <w:proofErr w:type="gramEnd"/>
            <w:r w:rsidR="00522E67" w:rsidRPr="004D2C0C">
              <w:rPr>
                <w:rFonts w:ascii="Times New Roman" w:eastAsia="標楷體" w:hint="eastAsia"/>
                <w:b w:val="0"/>
                <w:sz w:val="28"/>
                <w:szCs w:val="28"/>
              </w:rPr>
              <w:t>略</w:t>
            </w:r>
          </w:p>
        </w:tc>
        <w:tc>
          <w:tcPr>
            <w:tcW w:w="1980" w:type="dxa"/>
            <w:shd w:val="clear" w:color="auto" w:fill="auto"/>
            <w:hideMark/>
          </w:tcPr>
          <w:p w14:paraId="1C9B4C7B" w14:textId="77777777" w:rsidR="00522E67" w:rsidRPr="004D2C0C" w:rsidRDefault="00522E67" w:rsidP="00522E67">
            <w:pPr>
              <w:adjustRightInd/>
              <w:spacing w:line="240" w:lineRule="auto"/>
              <w:ind w:left="-20" w:right="-20"/>
              <w:textAlignment w:val="auto"/>
              <w:rPr>
                <w:rFonts w:ascii="標楷體" w:eastAsia="標楷體" w:hAnsi="標楷體"/>
                <w:color w:val="FF0000"/>
                <w:szCs w:val="24"/>
              </w:rPr>
            </w:pPr>
            <w:r w:rsidRPr="004D2C0C">
              <w:rPr>
                <w:rFonts w:ascii="標楷體" w:eastAsia="標楷體" w:hAnsi="標楷體" w:hint="eastAsia"/>
                <w:color w:val="FF0000"/>
                <w:szCs w:val="24"/>
              </w:rPr>
              <w:t>調整條文項次。</w:t>
            </w:r>
          </w:p>
          <w:p w14:paraId="0CD1C4E8" w14:textId="77777777" w:rsidR="00B7740E" w:rsidRPr="004D2C0C" w:rsidRDefault="00B7740E" w:rsidP="001A35AC">
            <w:pPr>
              <w:adjustRightInd/>
              <w:spacing w:line="240" w:lineRule="auto"/>
              <w:ind w:left="-20" w:right="-20"/>
              <w:textAlignment w:val="auto"/>
              <w:rPr>
                <w:rFonts w:ascii="標楷體" w:eastAsia="標楷體" w:hAnsi="標楷體"/>
                <w:color w:val="FF0000"/>
                <w:szCs w:val="24"/>
              </w:rPr>
            </w:pPr>
          </w:p>
        </w:tc>
      </w:tr>
      <w:tr w:rsidR="000D745E" w:rsidRPr="004D2C0C" w14:paraId="1C078A3B" w14:textId="77777777" w:rsidTr="00B7740E">
        <w:tblPrEx>
          <w:tblLook w:val="04A0" w:firstRow="1" w:lastRow="0" w:firstColumn="1" w:lastColumn="0" w:noHBand="0" w:noVBand="1"/>
        </w:tblPrEx>
        <w:tc>
          <w:tcPr>
            <w:tcW w:w="1260" w:type="dxa"/>
          </w:tcPr>
          <w:p w14:paraId="323F5A3A" w14:textId="77777777" w:rsidR="000D745E" w:rsidRPr="004D2C0C" w:rsidRDefault="000D745E" w:rsidP="001A35AC">
            <w:pPr>
              <w:adjustRightInd/>
              <w:spacing w:line="240" w:lineRule="auto"/>
              <w:ind w:leftChars="-20" w:left="-48" w:rightChars="-20" w:right="-48"/>
              <w:textAlignment w:val="auto"/>
              <w:rPr>
                <w:rFonts w:ascii="標楷體" w:eastAsia="標楷體" w:hAnsi="標楷體"/>
                <w:color w:val="FF0000"/>
                <w:szCs w:val="24"/>
              </w:rPr>
            </w:pPr>
          </w:p>
        </w:tc>
        <w:tc>
          <w:tcPr>
            <w:tcW w:w="3420" w:type="dxa"/>
          </w:tcPr>
          <w:p w14:paraId="43752CA6" w14:textId="35C9AE62" w:rsidR="000D745E" w:rsidRPr="004D2C0C" w:rsidRDefault="00047701" w:rsidP="005101F1">
            <w:pPr>
              <w:spacing w:line="240" w:lineRule="auto"/>
              <w:ind w:left="599" w:hangingChars="214" w:hanging="599"/>
              <w:jc w:val="both"/>
              <w:rPr>
                <w:rFonts w:ascii="標楷體" w:eastAsia="標楷體" w:hAnsi="標楷體"/>
                <w:color w:val="FF0000"/>
                <w:szCs w:val="24"/>
              </w:rPr>
            </w:pPr>
            <w:r w:rsidRPr="004D2C0C">
              <w:rPr>
                <w:rFonts w:eastAsia="標楷體" w:hint="eastAsia"/>
                <w:color w:val="FF0000"/>
                <w:sz w:val="28"/>
                <w:szCs w:val="28"/>
              </w:rPr>
              <w:t>第五條</w:t>
            </w:r>
            <w:r w:rsidR="005101F1" w:rsidRPr="004D2C0C">
              <w:rPr>
                <w:rFonts w:eastAsia="標楷體"/>
                <w:sz w:val="28"/>
                <w:szCs w:val="28"/>
              </w:rPr>
              <w:t>、</w:t>
            </w:r>
            <w:r w:rsidR="00913E4A" w:rsidRPr="004D2C0C">
              <w:rPr>
                <w:rFonts w:eastAsia="標楷體"/>
                <w:sz w:val="28"/>
                <w:szCs w:val="28"/>
              </w:rPr>
              <w:t>系教評會應就申請人之</w:t>
            </w:r>
            <w:r w:rsidR="004D2C0C" w:rsidRPr="004D2C0C">
              <w:rPr>
                <w:rFonts w:eastAsia="標楷體" w:hint="eastAsia"/>
                <w:color w:val="FF0000"/>
                <w:sz w:val="28"/>
                <w:szCs w:val="28"/>
              </w:rPr>
              <w:t>專業學術表現</w:t>
            </w:r>
            <w:r w:rsidR="004500F3" w:rsidRPr="004D2C0C">
              <w:rPr>
                <w:rFonts w:eastAsia="標楷體"/>
                <w:sz w:val="28"/>
                <w:szCs w:val="28"/>
              </w:rPr>
              <w:t>…</w:t>
            </w:r>
            <w:proofErr w:type="gramStart"/>
            <w:r w:rsidR="004500F3" w:rsidRPr="004D2C0C">
              <w:rPr>
                <w:rFonts w:eastAsia="標楷體"/>
                <w:sz w:val="28"/>
                <w:szCs w:val="28"/>
              </w:rPr>
              <w:t>…</w:t>
            </w:r>
            <w:proofErr w:type="gramEnd"/>
            <w:r w:rsidR="004500F3" w:rsidRPr="004D2C0C">
              <w:rPr>
                <w:rFonts w:eastAsia="標楷體"/>
                <w:sz w:val="28"/>
                <w:szCs w:val="28"/>
              </w:rPr>
              <w:t xml:space="preserve">.. </w:t>
            </w:r>
            <w:r w:rsidR="004500F3" w:rsidRPr="004D2C0C">
              <w:rPr>
                <w:rFonts w:eastAsia="標楷體"/>
                <w:sz w:val="28"/>
                <w:szCs w:val="28"/>
              </w:rPr>
              <w:t>合格標準</w:t>
            </w:r>
            <w:r w:rsidR="005101F1" w:rsidRPr="004D2C0C">
              <w:rPr>
                <w:rFonts w:eastAsia="標楷體"/>
                <w:sz w:val="28"/>
                <w:szCs w:val="28"/>
              </w:rPr>
              <w:t>。系教評會須由</w:t>
            </w:r>
            <w:r w:rsidR="005101F1" w:rsidRPr="004D2C0C">
              <w:rPr>
                <w:rFonts w:eastAsia="標楷體" w:hint="eastAsia"/>
                <w:color w:val="FF0000"/>
                <w:sz w:val="28"/>
                <w:szCs w:val="28"/>
              </w:rPr>
              <w:t>審查等級</w:t>
            </w:r>
            <w:r w:rsidR="005101F1" w:rsidRPr="004D2C0C">
              <w:rPr>
                <w:rFonts w:eastAsia="標楷體" w:hint="eastAsia"/>
                <w:color w:val="FF0000"/>
                <w:sz w:val="28"/>
                <w:szCs w:val="28"/>
              </w:rPr>
              <w:t>(</w:t>
            </w:r>
            <w:r w:rsidR="005101F1" w:rsidRPr="004D2C0C">
              <w:rPr>
                <w:rFonts w:eastAsia="標楷體" w:hint="eastAsia"/>
                <w:color w:val="FF0000"/>
                <w:sz w:val="28"/>
                <w:szCs w:val="28"/>
              </w:rPr>
              <w:t>含</w:t>
            </w:r>
            <w:r w:rsidR="005101F1" w:rsidRPr="004D2C0C">
              <w:rPr>
                <w:rFonts w:eastAsia="標楷體" w:hint="eastAsia"/>
                <w:color w:val="FF0000"/>
                <w:sz w:val="28"/>
                <w:szCs w:val="28"/>
              </w:rPr>
              <w:t>)</w:t>
            </w:r>
            <w:r w:rsidR="005101F1" w:rsidRPr="004D2C0C">
              <w:rPr>
                <w:rFonts w:eastAsia="標楷體" w:hint="eastAsia"/>
                <w:color w:val="FF0000"/>
                <w:sz w:val="28"/>
                <w:szCs w:val="28"/>
              </w:rPr>
              <w:t>以上</w:t>
            </w:r>
            <w:r w:rsidR="005101F1" w:rsidRPr="004D2C0C">
              <w:rPr>
                <w:rFonts w:eastAsia="標楷體"/>
                <w:sz w:val="28"/>
                <w:szCs w:val="28"/>
              </w:rPr>
              <w:t>委員</w:t>
            </w:r>
            <w:r w:rsidR="005101F1" w:rsidRPr="004D2C0C">
              <w:rPr>
                <w:rFonts w:eastAsia="標楷體" w:hint="eastAsia"/>
                <w:color w:val="FF0000"/>
                <w:sz w:val="28"/>
                <w:szCs w:val="28"/>
              </w:rPr>
              <w:t>組成</w:t>
            </w:r>
            <w:r w:rsidR="005101F1" w:rsidRPr="004D2C0C">
              <w:rPr>
                <w:rFonts w:eastAsia="標楷體" w:hint="eastAsia"/>
                <w:sz w:val="28"/>
                <w:szCs w:val="28"/>
              </w:rPr>
              <w:t>，</w:t>
            </w:r>
            <w:r w:rsidR="005101F1" w:rsidRPr="004D2C0C">
              <w:rPr>
                <w:rFonts w:eastAsia="標楷體"/>
                <w:sz w:val="28"/>
                <w:szCs w:val="28"/>
              </w:rPr>
              <w:t>2/3(</w:t>
            </w:r>
            <w:r w:rsidR="005101F1" w:rsidRPr="004D2C0C">
              <w:rPr>
                <w:rFonts w:eastAsia="標楷體"/>
                <w:sz w:val="28"/>
                <w:szCs w:val="28"/>
              </w:rPr>
              <w:t>含</w:t>
            </w:r>
            <w:r w:rsidR="005101F1" w:rsidRPr="004D2C0C">
              <w:rPr>
                <w:rFonts w:eastAsia="標楷體"/>
                <w:sz w:val="28"/>
                <w:szCs w:val="28"/>
              </w:rPr>
              <w:t>)</w:t>
            </w:r>
            <w:r w:rsidR="004500F3" w:rsidRPr="004D2C0C">
              <w:rPr>
                <w:rFonts w:eastAsia="標楷體"/>
                <w:sz w:val="28"/>
                <w:szCs w:val="28"/>
              </w:rPr>
              <w:t>…</w:t>
            </w:r>
            <w:proofErr w:type="gramStart"/>
            <w:r w:rsidR="004500F3" w:rsidRPr="004D2C0C">
              <w:rPr>
                <w:rFonts w:eastAsia="標楷體"/>
                <w:sz w:val="28"/>
                <w:szCs w:val="28"/>
              </w:rPr>
              <w:t>…</w:t>
            </w:r>
            <w:proofErr w:type="gramEnd"/>
            <w:r w:rsidR="004500F3" w:rsidRPr="004D2C0C">
              <w:rPr>
                <w:rFonts w:eastAsia="標楷體"/>
                <w:sz w:val="28"/>
                <w:szCs w:val="28"/>
              </w:rPr>
              <w:t>.</w:t>
            </w:r>
            <w:r w:rsidR="005101F1" w:rsidRPr="004D2C0C">
              <w:rPr>
                <w:rFonts w:eastAsia="標楷體"/>
                <w:sz w:val="28"/>
                <w:szCs w:val="28"/>
              </w:rPr>
              <w:t>送院</w:t>
            </w:r>
            <w:r w:rsidR="005101F1" w:rsidRPr="004D2C0C">
              <w:rPr>
                <w:rFonts w:eastAsia="標楷體" w:hint="eastAsia"/>
                <w:color w:val="FF0000"/>
                <w:sz w:val="28"/>
                <w:szCs w:val="28"/>
              </w:rPr>
              <w:t>教評會</w:t>
            </w:r>
            <w:r w:rsidR="005101F1" w:rsidRPr="004D2C0C">
              <w:rPr>
                <w:rFonts w:eastAsia="標楷體"/>
                <w:sz w:val="28"/>
                <w:szCs w:val="28"/>
              </w:rPr>
              <w:t>審查。若</w:t>
            </w:r>
            <w:r w:rsidR="003710DB" w:rsidRPr="004D2C0C">
              <w:rPr>
                <w:rFonts w:eastAsia="標楷體"/>
                <w:sz w:val="28"/>
                <w:szCs w:val="28"/>
              </w:rPr>
              <w:t>…</w:t>
            </w:r>
            <w:proofErr w:type="gramStart"/>
            <w:r w:rsidR="003710DB" w:rsidRPr="004D2C0C">
              <w:rPr>
                <w:rFonts w:eastAsia="標楷體"/>
                <w:sz w:val="28"/>
                <w:szCs w:val="28"/>
              </w:rPr>
              <w:t>…</w:t>
            </w:r>
            <w:proofErr w:type="gramEnd"/>
            <w:r w:rsidR="005101F1" w:rsidRPr="004D2C0C">
              <w:rPr>
                <w:rFonts w:eastAsia="標楷體"/>
                <w:sz w:val="28"/>
                <w:szCs w:val="28"/>
              </w:rPr>
              <w:t>程序，以「</w:t>
            </w:r>
            <w:r w:rsidR="005101F1" w:rsidRPr="004D2C0C">
              <w:rPr>
                <w:rFonts w:eastAsia="標楷體" w:hint="eastAsia"/>
                <w:color w:val="FF0000"/>
                <w:sz w:val="28"/>
                <w:szCs w:val="28"/>
              </w:rPr>
              <w:t>教評會</w:t>
            </w:r>
            <w:r w:rsidR="005101F1" w:rsidRPr="004D2C0C">
              <w:rPr>
                <w:rFonts w:eastAsia="標楷體"/>
                <w:sz w:val="28"/>
                <w:szCs w:val="28"/>
              </w:rPr>
              <w:t>」</w:t>
            </w:r>
            <w:r w:rsidR="003710DB" w:rsidRPr="004D2C0C">
              <w:rPr>
                <w:rFonts w:eastAsia="標楷體"/>
                <w:sz w:val="28"/>
                <w:szCs w:val="28"/>
              </w:rPr>
              <w:t>…</w:t>
            </w:r>
            <w:proofErr w:type="gramStart"/>
            <w:r w:rsidR="003710DB" w:rsidRPr="004D2C0C">
              <w:rPr>
                <w:rFonts w:eastAsia="標楷體"/>
                <w:sz w:val="28"/>
                <w:szCs w:val="28"/>
              </w:rPr>
              <w:t>…</w:t>
            </w:r>
            <w:proofErr w:type="gramEnd"/>
            <w:r w:rsidR="005101F1" w:rsidRPr="004D2C0C">
              <w:rPr>
                <w:rFonts w:eastAsia="標楷體"/>
                <w:sz w:val="28"/>
                <w:szCs w:val="28"/>
              </w:rPr>
              <w:t>申請人。</w:t>
            </w:r>
          </w:p>
        </w:tc>
        <w:tc>
          <w:tcPr>
            <w:tcW w:w="3420" w:type="dxa"/>
          </w:tcPr>
          <w:p w14:paraId="013EC462" w14:textId="77777777" w:rsidR="000D745E" w:rsidRPr="004D2C0C" w:rsidRDefault="00BC364A" w:rsidP="003710DB">
            <w:pPr>
              <w:spacing w:line="240" w:lineRule="auto"/>
              <w:ind w:left="599" w:hangingChars="214" w:hanging="599"/>
              <w:jc w:val="both"/>
              <w:rPr>
                <w:rFonts w:ascii="標楷體" w:eastAsia="標楷體" w:hAnsi="標楷體"/>
                <w:color w:val="FF0000"/>
                <w:szCs w:val="24"/>
              </w:rPr>
            </w:pPr>
            <w:r w:rsidRPr="004D2C0C">
              <w:rPr>
                <w:rFonts w:eastAsia="標楷體"/>
                <w:sz w:val="28"/>
                <w:szCs w:val="28"/>
              </w:rPr>
              <w:t>七、</w:t>
            </w:r>
            <w:r w:rsidR="006C34F2" w:rsidRPr="004D2C0C">
              <w:rPr>
                <w:rFonts w:eastAsia="標楷體"/>
                <w:sz w:val="28"/>
                <w:szCs w:val="28"/>
              </w:rPr>
              <w:t>系教評會應就申請人之</w:t>
            </w:r>
            <w:r w:rsidR="006C34F2" w:rsidRPr="004D2C0C">
              <w:rPr>
                <w:rFonts w:eastAsia="標楷體" w:hint="eastAsia"/>
                <w:sz w:val="28"/>
                <w:szCs w:val="28"/>
              </w:rPr>
              <w:t>研究</w:t>
            </w:r>
            <w:r w:rsidR="004500F3" w:rsidRPr="004D2C0C">
              <w:rPr>
                <w:rFonts w:eastAsia="標楷體"/>
                <w:sz w:val="28"/>
                <w:szCs w:val="28"/>
              </w:rPr>
              <w:t>…</w:t>
            </w:r>
            <w:proofErr w:type="gramStart"/>
            <w:r w:rsidR="004500F3" w:rsidRPr="004D2C0C">
              <w:rPr>
                <w:rFonts w:eastAsia="標楷體"/>
                <w:sz w:val="28"/>
                <w:szCs w:val="28"/>
              </w:rPr>
              <w:t>…</w:t>
            </w:r>
            <w:proofErr w:type="gramEnd"/>
            <w:r w:rsidR="004500F3" w:rsidRPr="004D2C0C">
              <w:rPr>
                <w:rFonts w:eastAsia="標楷體"/>
                <w:sz w:val="28"/>
                <w:szCs w:val="28"/>
              </w:rPr>
              <w:t>.</w:t>
            </w:r>
            <w:r w:rsidRPr="004D2C0C">
              <w:rPr>
                <w:rFonts w:eastAsia="標楷體"/>
                <w:sz w:val="28"/>
                <w:szCs w:val="28"/>
              </w:rPr>
              <w:t>合格標準。系教評會須由委員</w:t>
            </w:r>
            <w:r w:rsidRPr="004D2C0C">
              <w:rPr>
                <w:rFonts w:eastAsia="標楷體"/>
                <w:sz w:val="28"/>
                <w:szCs w:val="28"/>
              </w:rPr>
              <w:t>2/3(</w:t>
            </w:r>
            <w:r w:rsidRPr="004D2C0C">
              <w:rPr>
                <w:rFonts w:eastAsia="標楷體"/>
                <w:sz w:val="28"/>
                <w:szCs w:val="28"/>
              </w:rPr>
              <w:t>含</w:t>
            </w:r>
            <w:r w:rsidRPr="004D2C0C">
              <w:rPr>
                <w:rFonts w:eastAsia="標楷體"/>
                <w:sz w:val="28"/>
                <w:szCs w:val="28"/>
              </w:rPr>
              <w:t>)</w:t>
            </w:r>
            <w:r w:rsidRPr="004D2C0C">
              <w:rPr>
                <w:rFonts w:eastAsia="標楷體"/>
                <w:sz w:val="28"/>
                <w:szCs w:val="28"/>
              </w:rPr>
              <w:t>以上出席，並以不具名方式投票表決，經</w:t>
            </w:r>
            <w:r w:rsidRPr="004D2C0C">
              <w:rPr>
                <w:rFonts w:eastAsia="標楷體"/>
                <w:sz w:val="28"/>
                <w:szCs w:val="28"/>
              </w:rPr>
              <w:t>2/3(</w:t>
            </w:r>
            <w:r w:rsidRPr="004D2C0C">
              <w:rPr>
                <w:rFonts w:eastAsia="標楷體"/>
                <w:sz w:val="28"/>
                <w:szCs w:val="28"/>
              </w:rPr>
              <w:t>含</w:t>
            </w:r>
            <w:r w:rsidRPr="004D2C0C">
              <w:rPr>
                <w:rFonts w:eastAsia="標楷體"/>
                <w:sz w:val="28"/>
                <w:szCs w:val="28"/>
              </w:rPr>
              <w:t>)</w:t>
            </w:r>
            <w:r w:rsidR="004500F3" w:rsidRPr="004D2C0C">
              <w:rPr>
                <w:rFonts w:eastAsia="標楷體"/>
                <w:sz w:val="28"/>
                <w:szCs w:val="28"/>
              </w:rPr>
              <w:t>….</w:t>
            </w:r>
            <w:r w:rsidRPr="004D2C0C">
              <w:rPr>
                <w:rFonts w:eastAsia="標楷體"/>
                <w:sz w:val="28"/>
                <w:szCs w:val="28"/>
              </w:rPr>
              <w:t>送院審查。若</w:t>
            </w:r>
            <w:r w:rsidR="003710DB" w:rsidRPr="004D2C0C">
              <w:rPr>
                <w:rFonts w:eastAsia="標楷體"/>
                <w:sz w:val="28"/>
                <w:szCs w:val="28"/>
              </w:rPr>
              <w:t>…</w:t>
            </w:r>
            <w:proofErr w:type="gramStart"/>
            <w:r w:rsidR="003710DB" w:rsidRPr="004D2C0C">
              <w:rPr>
                <w:rFonts w:eastAsia="標楷體"/>
                <w:sz w:val="28"/>
                <w:szCs w:val="28"/>
              </w:rPr>
              <w:t>…</w:t>
            </w:r>
            <w:proofErr w:type="gramEnd"/>
            <w:r w:rsidRPr="004D2C0C">
              <w:rPr>
                <w:rFonts w:eastAsia="標楷體"/>
                <w:sz w:val="28"/>
                <w:szCs w:val="28"/>
              </w:rPr>
              <w:t>程序，以「學校」</w:t>
            </w:r>
            <w:r w:rsidR="003710DB" w:rsidRPr="004D2C0C">
              <w:rPr>
                <w:rFonts w:eastAsia="標楷體"/>
                <w:sz w:val="28"/>
                <w:szCs w:val="28"/>
              </w:rPr>
              <w:t>…</w:t>
            </w:r>
            <w:proofErr w:type="gramStart"/>
            <w:r w:rsidR="003710DB" w:rsidRPr="004D2C0C">
              <w:rPr>
                <w:rFonts w:eastAsia="標楷體"/>
                <w:sz w:val="28"/>
                <w:szCs w:val="28"/>
              </w:rPr>
              <w:t>…</w:t>
            </w:r>
            <w:proofErr w:type="gramEnd"/>
            <w:r w:rsidRPr="004D2C0C">
              <w:rPr>
                <w:rFonts w:eastAsia="標楷體"/>
                <w:sz w:val="28"/>
                <w:szCs w:val="28"/>
              </w:rPr>
              <w:t>申請人。</w:t>
            </w:r>
          </w:p>
        </w:tc>
        <w:tc>
          <w:tcPr>
            <w:tcW w:w="1980" w:type="dxa"/>
          </w:tcPr>
          <w:p w14:paraId="6000A28A" w14:textId="77777777" w:rsidR="00113A9B" w:rsidRPr="004D2C0C" w:rsidRDefault="00ED7EFD" w:rsidP="00113A9B">
            <w:pPr>
              <w:adjustRightInd/>
              <w:spacing w:line="240" w:lineRule="auto"/>
              <w:ind w:left="-20" w:right="-20"/>
              <w:textAlignment w:val="auto"/>
              <w:rPr>
                <w:rFonts w:ascii="標楷體" w:eastAsia="標楷體" w:hAnsi="標楷體"/>
                <w:color w:val="FF0000"/>
                <w:szCs w:val="24"/>
              </w:rPr>
            </w:pPr>
            <w:r w:rsidRPr="004D2C0C">
              <w:rPr>
                <w:rFonts w:ascii="標楷體" w:eastAsia="標楷體" w:hAnsi="標楷體" w:hint="eastAsia"/>
                <w:color w:val="FF0000"/>
                <w:szCs w:val="24"/>
              </w:rPr>
              <w:t>依序</w:t>
            </w:r>
            <w:r w:rsidR="00113A9B" w:rsidRPr="004D2C0C">
              <w:rPr>
                <w:rFonts w:ascii="標楷體" w:eastAsia="標楷體" w:hAnsi="標楷體" w:hint="eastAsia"/>
                <w:color w:val="FF0000"/>
                <w:szCs w:val="24"/>
              </w:rPr>
              <w:t>調整條文項次。</w:t>
            </w:r>
          </w:p>
          <w:p w14:paraId="13687828" w14:textId="77777777" w:rsidR="004500F3" w:rsidRPr="004D2C0C" w:rsidRDefault="004500F3" w:rsidP="001A35AC">
            <w:pPr>
              <w:adjustRightInd/>
              <w:spacing w:line="240" w:lineRule="auto"/>
              <w:ind w:left="-20" w:right="-20"/>
              <w:textAlignment w:val="auto"/>
              <w:rPr>
                <w:rFonts w:ascii="標楷體" w:eastAsia="標楷體" w:hAnsi="標楷體"/>
                <w:color w:val="FF0000"/>
                <w:szCs w:val="24"/>
              </w:rPr>
            </w:pPr>
            <w:r w:rsidRPr="004D2C0C">
              <w:rPr>
                <w:rFonts w:ascii="標楷體" w:eastAsia="標楷體" w:hAnsi="標楷體" w:hint="eastAsia"/>
                <w:color w:val="FF0000"/>
                <w:szCs w:val="24"/>
              </w:rPr>
              <w:t>規範</w:t>
            </w:r>
            <w:r w:rsidR="0094586F" w:rsidRPr="004D2C0C">
              <w:rPr>
                <w:rFonts w:ascii="標楷體" w:eastAsia="標楷體" w:hAnsi="標楷體" w:hint="eastAsia"/>
                <w:color w:val="FF0000"/>
                <w:szCs w:val="24"/>
              </w:rPr>
              <w:t>審查委員職級。</w:t>
            </w:r>
          </w:p>
          <w:p w14:paraId="29D64450" w14:textId="77777777" w:rsidR="004500F3" w:rsidRPr="004D2C0C" w:rsidRDefault="003710DB" w:rsidP="001A35AC">
            <w:pPr>
              <w:adjustRightInd/>
              <w:spacing w:line="240" w:lineRule="auto"/>
              <w:ind w:left="-20" w:right="-20"/>
              <w:textAlignment w:val="auto"/>
              <w:rPr>
                <w:rFonts w:ascii="標楷體" w:eastAsia="標楷體" w:hAnsi="標楷體"/>
                <w:color w:val="FF0000"/>
                <w:szCs w:val="24"/>
              </w:rPr>
            </w:pPr>
            <w:r w:rsidRPr="004D2C0C">
              <w:rPr>
                <w:rFonts w:ascii="標楷體" w:eastAsia="標楷體" w:hAnsi="標楷體" w:hint="eastAsia"/>
                <w:color w:val="FF0000"/>
                <w:szCs w:val="24"/>
              </w:rPr>
              <w:t>規範送審會議種類</w:t>
            </w:r>
            <w:r w:rsidR="0094586F" w:rsidRPr="004D2C0C">
              <w:rPr>
                <w:rFonts w:ascii="標楷體" w:eastAsia="標楷體" w:hAnsi="標楷體" w:hint="eastAsia"/>
                <w:color w:val="FF0000"/>
                <w:szCs w:val="24"/>
              </w:rPr>
              <w:t>。</w:t>
            </w:r>
          </w:p>
        </w:tc>
      </w:tr>
      <w:tr w:rsidR="000D745E" w:rsidRPr="004D2C0C" w14:paraId="73B94727" w14:textId="77777777" w:rsidTr="00B7740E">
        <w:tblPrEx>
          <w:tblLook w:val="04A0" w:firstRow="1" w:lastRow="0" w:firstColumn="1" w:lastColumn="0" w:noHBand="0" w:noVBand="1"/>
        </w:tblPrEx>
        <w:tc>
          <w:tcPr>
            <w:tcW w:w="1260" w:type="dxa"/>
          </w:tcPr>
          <w:p w14:paraId="684EB2C0" w14:textId="77777777" w:rsidR="000D745E" w:rsidRPr="004D2C0C" w:rsidRDefault="000D745E" w:rsidP="001A35AC">
            <w:pPr>
              <w:adjustRightInd/>
              <w:spacing w:line="240" w:lineRule="auto"/>
              <w:ind w:leftChars="-20" w:left="-48" w:rightChars="-20" w:right="-48"/>
              <w:textAlignment w:val="auto"/>
              <w:rPr>
                <w:rFonts w:ascii="標楷體" w:eastAsia="標楷體" w:hAnsi="標楷體"/>
                <w:color w:val="FF0000"/>
                <w:szCs w:val="24"/>
              </w:rPr>
            </w:pPr>
          </w:p>
        </w:tc>
        <w:tc>
          <w:tcPr>
            <w:tcW w:w="3420" w:type="dxa"/>
          </w:tcPr>
          <w:p w14:paraId="2E2C6E3B" w14:textId="77777777" w:rsidR="000D745E" w:rsidRPr="004D2C0C" w:rsidRDefault="00047701" w:rsidP="0094586F">
            <w:pPr>
              <w:spacing w:line="240" w:lineRule="auto"/>
              <w:ind w:left="599" w:hangingChars="214" w:hanging="599"/>
              <w:jc w:val="both"/>
              <w:rPr>
                <w:rFonts w:ascii="標楷體" w:eastAsia="標楷體" w:hAnsi="標楷體"/>
                <w:color w:val="FF0000"/>
                <w:szCs w:val="24"/>
              </w:rPr>
            </w:pPr>
            <w:r w:rsidRPr="004D2C0C">
              <w:rPr>
                <w:rFonts w:eastAsia="標楷體" w:hint="eastAsia"/>
                <w:color w:val="FF0000"/>
                <w:sz w:val="28"/>
                <w:szCs w:val="28"/>
              </w:rPr>
              <w:t>第六條</w:t>
            </w:r>
            <w:r w:rsidR="005101F1" w:rsidRPr="004D2C0C">
              <w:rPr>
                <w:rFonts w:eastAsia="標楷體"/>
                <w:sz w:val="28"/>
                <w:szCs w:val="28"/>
              </w:rPr>
              <w:t>、若申請人</w:t>
            </w:r>
            <w:r w:rsidR="005F332A" w:rsidRPr="004D2C0C">
              <w:rPr>
                <w:rFonts w:eastAsia="標楷體"/>
                <w:sz w:val="28"/>
                <w:szCs w:val="28"/>
              </w:rPr>
              <w:t>…</w:t>
            </w:r>
            <w:proofErr w:type="gramStart"/>
            <w:r w:rsidR="00A84064" w:rsidRPr="004D2C0C">
              <w:rPr>
                <w:rFonts w:eastAsia="標楷體"/>
                <w:sz w:val="28"/>
                <w:szCs w:val="28"/>
              </w:rPr>
              <w:t>…</w:t>
            </w:r>
            <w:proofErr w:type="gramEnd"/>
            <w:r w:rsidR="005101F1" w:rsidRPr="004D2C0C">
              <w:rPr>
                <w:rFonts w:eastAsia="標楷體"/>
                <w:sz w:val="28"/>
                <w:szCs w:val="28"/>
              </w:rPr>
              <w:t>「輔仁大學教師升等辦法」</w:t>
            </w:r>
            <w:r w:rsidR="005101F1" w:rsidRPr="004D2C0C">
              <w:rPr>
                <w:rFonts w:eastAsia="標楷體" w:hint="eastAsia"/>
                <w:color w:val="FF0000"/>
                <w:sz w:val="28"/>
                <w:szCs w:val="28"/>
              </w:rPr>
              <w:t>第六條</w:t>
            </w:r>
            <w:r w:rsidR="005101F1" w:rsidRPr="004D2C0C">
              <w:rPr>
                <w:rFonts w:eastAsia="標楷體" w:hint="eastAsia"/>
                <w:sz w:val="28"/>
                <w:szCs w:val="28"/>
              </w:rPr>
              <w:t>規定</w:t>
            </w:r>
            <w:r w:rsidR="005101F1" w:rsidRPr="004D2C0C">
              <w:rPr>
                <w:rFonts w:eastAsia="標楷體"/>
                <w:sz w:val="28"/>
                <w:szCs w:val="28"/>
              </w:rPr>
              <w:t>提出申訴。</w:t>
            </w:r>
          </w:p>
        </w:tc>
        <w:tc>
          <w:tcPr>
            <w:tcW w:w="3420" w:type="dxa"/>
          </w:tcPr>
          <w:p w14:paraId="798D9849" w14:textId="77777777" w:rsidR="000D745E" w:rsidRPr="004D2C0C" w:rsidRDefault="00BC364A" w:rsidP="001A35AC">
            <w:pPr>
              <w:adjustRightInd/>
              <w:snapToGrid w:val="0"/>
              <w:spacing w:line="240" w:lineRule="auto"/>
              <w:textAlignment w:val="auto"/>
              <w:rPr>
                <w:rFonts w:ascii="標楷體" w:eastAsia="標楷體" w:hAnsi="標楷體"/>
                <w:color w:val="FF0000"/>
                <w:szCs w:val="24"/>
              </w:rPr>
            </w:pPr>
            <w:r w:rsidRPr="004D2C0C">
              <w:rPr>
                <w:rFonts w:eastAsia="標楷體"/>
                <w:sz w:val="28"/>
                <w:szCs w:val="28"/>
              </w:rPr>
              <w:t>八、若申請人</w:t>
            </w:r>
            <w:r w:rsidR="00A84064" w:rsidRPr="004D2C0C">
              <w:rPr>
                <w:rFonts w:eastAsia="標楷體"/>
                <w:sz w:val="28"/>
                <w:szCs w:val="28"/>
              </w:rPr>
              <w:t>…</w:t>
            </w:r>
            <w:proofErr w:type="gramStart"/>
            <w:r w:rsidR="00A84064" w:rsidRPr="004D2C0C">
              <w:rPr>
                <w:rFonts w:eastAsia="標楷體"/>
                <w:sz w:val="28"/>
                <w:szCs w:val="28"/>
              </w:rPr>
              <w:t>…</w:t>
            </w:r>
            <w:proofErr w:type="gramEnd"/>
            <w:r w:rsidRPr="004D2C0C">
              <w:rPr>
                <w:rFonts w:eastAsia="標楷體"/>
                <w:sz w:val="28"/>
                <w:szCs w:val="28"/>
              </w:rPr>
              <w:t>「輔仁大學教師升等辦法」提出申訴。</w:t>
            </w:r>
          </w:p>
        </w:tc>
        <w:tc>
          <w:tcPr>
            <w:tcW w:w="1980" w:type="dxa"/>
          </w:tcPr>
          <w:p w14:paraId="481813F7" w14:textId="77777777" w:rsidR="000D745E" w:rsidRPr="004D2C0C" w:rsidRDefault="00ED7EFD" w:rsidP="001A35AC">
            <w:pPr>
              <w:adjustRightInd/>
              <w:spacing w:line="240" w:lineRule="auto"/>
              <w:ind w:left="-20" w:right="-20"/>
              <w:textAlignment w:val="auto"/>
              <w:rPr>
                <w:rFonts w:ascii="標楷體" w:eastAsia="標楷體" w:hAnsi="標楷體"/>
                <w:color w:val="FF0000"/>
                <w:szCs w:val="24"/>
              </w:rPr>
            </w:pPr>
            <w:r w:rsidRPr="004D2C0C">
              <w:rPr>
                <w:rFonts w:ascii="標楷體" w:eastAsia="標楷體" w:hAnsi="標楷體" w:hint="eastAsia"/>
                <w:color w:val="FF0000"/>
                <w:szCs w:val="24"/>
              </w:rPr>
              <w:t>依序</w:t>
            </w:r>
            <w:r w:rsidR="00C90A0F" w:rsidRPr="004D2C0C">
              <w:rPr>
                <w:rFonts w:ascii="標楷體" w:eastAsia="標楷體" w:hAnsi="標楷體" w:hint="eastAsia"/>
                <w:color w:val="FF0000"/>
                <w:szCs w:val="24"/>
              </w:rPr>
              <w:t>調整條文項次。</w:t>
            </w:r>
          </w:p>
          <w:p w14:paraId="5EC2D6DA" w14:textId="77777777" w:rsidR="00A84064" w:rsidRPr="004D2C0C" w:rsidRDefault="00A84064" w:rsidP="001A35AC">
            <w:pPr>
              <w:adjustRightInd/>
              <w:spacing w:line="240" w:lineRule="auto"/>
              <w:ind w:left="-20" w:right="-20"/>
              <w:textAlignment w:val="auto"/>
              <w:rPr>
                <w:rFonts w:ascii="標楷體" w:eastAsia="標楷體" w:hAnsi="標楷體"/>
                <w:color w:val="FF0000"/>
                <w:szCs w:val="24"/>
              </w:rPr>
            </w:pPr>
            <w:r w:rsidRPr="004D2C0C">
              <w:rPr>
                <w:rFonts w:ascii="標楷體" w:eastAsia="標楷體" w:hAnsi="標楷體" w:hint="eastAsia"/>
                <w:color w:val="FF0000"/>
                <w:szCs w:val="24"/>
              </w:rPr>
              <w:t>增加申訴適用條文。</w:t>
            </w:r>
          </w:p>
        </w:tc>
      </w:tr>
      <w:tr w:rsidR="000D745E" w:rsidRPr="004D2C0C" w14:paraId="777C5064" w14:textId="77777777" w:rsidTr="00B7740E">
        <w:tblPrEx>
          <w:tblLook w:val="04A0" w:firstRow="1" w:lastRow="0" w:firstColumn="1" w:lastColumn="0" w:noHBand="0" w:noVBand="1"/>
        </w:tblPrEx>
        <w:tc>
          <w:tcPr>
            <w:tcW w:w="1260" w:type="dxa"/>
          </w:tcPr>
          <w:p w14:paraId="25EB9AD5" w14:textId="77777777" w:rsidR="000D745E" w:rsidRPr="004D2C0C" w:rsidRDefault="000D745E" w:rsidP="001A35AC">
            <w:pPr>
              <w:adjustRightInd/>
              <w:spacing w:line="240" w:lineRule="auto"/>
              <w:ind w:leftChars="-20" w:left="-48" w:rightChars="-20" w:right="-48"/>
              <w:textAlignment w:val="auto"/>
              <w:rPr>
                <w:rFonts w:ascii="標楷體" w:eastAsia="標楷體" w:hAnsi="標楷體"/>
                <w:color w:val="FF0000"/>
                <w:szCs w:val="24"/>
              </w:rPr>
            </w:pPr>
          </w:p>
        </w:tc>
        <w:tc>
          <w:tcPr>
            <w:tcW w:w="3420" w:type="dxa"/>
          </w:tcPr>
          <w:p w14:paraId="5A9F9400" w14:textId="77777777" w:rsidR="000D745E" w:rsidRPr="004D2C0C" w:rsidRDefault="00047701" w:rsidP="005101F1">
            <w:pPr>
              <w:spacing w:line="240" w:lineRule="auto"/>
              <w:ind w:left="599" w:hangingChars="214" w:hanging="599"/>
              <w:jc w:val="both"/>
              <w:rPr>
                <w:rFonts w:ascii="標楷體" w:eastAsia="標楷體" w:hAnsi="標楷體"/>
                <w:color w:val="FF0000"/>
                <w:szCs w:val="24"/>
              </w:rPr>
            </w:pPr>
            <w:r w:rsidRPr="004D2C0C">
              <w:rPr>
                <w:rFonts w:eastAsia="標楷體" w:hint="eastAsia"/>
                <w:color w:val="FF0000"/>
                <w:sz w:val="28"/>
                <w:szCs w:val="28"/>
              </w:rPr>
              <w:t>第</w:t>
            </w:r>
            <w:r w:rsidR="005101F1" w:rsidRPr="004D2C0C">
              <w:rPr>
                <w:rFonts w:eastAsia="標楷體" w:hint="eastAsia"/>
                <w:color w:val="FF0000"/>
                <w:sz w:val="28"/>
                <w:szCs w:val="28"/>
              </w:rPr>
              <w:t>七</w:t>
            </w:r>
            <w:r w:rsidRPr="004D2C0C">
              <w:rPr>
                <w:rFonts w:eastAsia="標楷體" w:hint="eastAsia"/>
                <w:color w:val="FF0000"/>
                <w:sz w:val="28"/>
                <w:szCs w:val="28"/>
              </w:rPr>
              <w:t>條</w:t>
            </w:r>
            <w:r w:rsidR="005101F1" w:rsidRPr="004D2C0C">
              <w:rPr>
                <w:rFonts w:eastAsia="標楷體"/>
                <w:sz w:val="28"/>
                <w:szCs w:val="28"/>
              </w:rPr>
              <w:t>、本辦法</w:t>
            </w:r>
            <w:r w:rsidR="00924333" w:rsidRPr="004D2C0C">
              <w:rPr>
                <w:rFonts w:eastAsia="標楷體"/>
                <w:sz w:val="28"/>
                <w:szCs w:val="28"/>
              </w:rPr>
              <w:t>……</w:t>
            </w:r>
            <w:r w:rsidR="005101F1" w:rsidRPr="004D2C0C">
              <w:rPr>
                <w:rFonts w:eastAsia="標楷體"/>
                <w:sz w:val="28"/>
                <w:szCs w:val="28"/>
              </w:rPr>
              <w:t>。</w:t>
            </w:r>
          </w:p>
        </w:tc>
        <w:tc>
          <w:tcPr>
            <w:tcW w:w="3420" w:type="dxa"/>
          </w:tcPr>
          <w:p w14:paraId="36FDADCD" w14:textId="77777777" w:rsidR="000D745E" w:rsidRPr="004D2C0C" w:rsidRDefault="00BC364A" w:rsidP="00924333">
            <w:pPr>
              <w:spacing w:line="240" w:lineRule="auto"/>
              <w:ind w:left="599" w:hangingChars="214" w:hanging="599"/>
              <w:jc w:val="both"/>
              <w:rPr>
                <w:rFonts w:ascii="標楷體" w:eastAsia="標楷體" w:hAnsi="標楷體"/>
                <w:color w:val="FF0000"/>
                <w:szCs w:val="24"/>
              </w:rPr>
            </w:pPr>
            <w:r w:rsidRPr="004D2C0C">
              <w:rPr>
                <w:rFonts w:eastAsia="標楷體"/>
                <w:sz w:val="28"/>
                <w:szCs w:val="28"/>
              </w:rPr>
              <w:t>九、本辦法</w:t>
            </w:r>
            <w:r w:rsidR="00924333" w:rsidRPr="004D2C0C">
              <w:rPr>
                <w:rFonts w:eastAsia="標楷體"/>
                <w:sz w:val="28"/>
                <w:szCs w:val="28"/>
              </w:rPr>
              <w:t>…</w:t>
            </w:r>
            <w:proofErr w:type="gramStart"/>
            <w:r w:rsidR="00924333" w:rsidRPr="004D2C0C">
              <w:rPr>
                <w:rFonts w:eastAsia="標楷體"/>
                <w:sz w:val="28"/>
                <w:szCs w:val="28"/>
              </w:rPr>
              <w:t>…</w:t>
            </w:r>
            <w:proofErr w:type="gramEnd"/>
            <w:r w:rsidRPr="004D2C0C">
              <w:rPr>
                <w:rFonts w:eastAsia="標楷體"/>
                <w:sz w:val="28"/>
                <w:szCs w:val="28"/>
              </w:rPr>
              <w:t>。</w:t>
            </w:r>
          </w:p>
        </w:tc>
        <w:tc>
          <w:tcPr>
            <w:tcW w:w="1980" w:type="dxa"/>
          </w:tcPr>
          <w:p w14:paraId="3D01573B" w14:textId="77777777" w:rsidR="000D745E" w:rsidRPr="004D2C0C" w:rsidRDefault="00ED7EFD" w:rsidP="001A35AC">
            <w:pPr>
              <w:adjustRightInd/>
              <w:spacing w:line="240" w:lineRule="auto"/>
              <w:ind w:left="-20" w:right="-20"/>
              <w:textAlignment w:val="auto"/>
              <w:rPr>
                <w:rFonts w:ascii="標楷體" w:eastAsia="標楷體" w:hAnsi="標楷體"/>
                <w:color w:val="FF0000"/>
                <w:szCs w:val="24"/>
              </w:rPr>
            </w:pPr>
            <w:r w:rsidRPr="004D2C0C">
              <w:rPr>
                <w:rFonts w:ascii="標楷體" w:eastAsia="標楷體" w:hAnsi="標楷體" w:hint="eastAsia"/>
                <w:color w:val="FF0000"/>
                <w:szCs w:val="24"/>
              </w:rPr>
              <w:t>依序</w:t>
            </w:r>
            <w:r w:rsidR="00874D1F" w:rsidRPr="004D2C0C">
              <w:rPr>
                <w:rFonts w:ascii="標楷體" w:eastAsia="標楷體" w:hAnsi="標楷體" w:hint="eastAsia"/>
                <w:color w:val="FF0000"/>
                <w:szCs w:val="24"/>
              </w:rPr>
              <w:t>調整條文項次。</w:t>
            </w:r>
          </w:p>
        </w:tc>
      </w:tr>
    </w:tbl>
    <w:p w14:paraId="772503FC" w14:textId="77777777" w:rsidR="00A014D6" w:rsidRPr="004D2C0C" w:rsidRDefault="00A014D6" w:rsidP="00A014D6">
      <w:pPr>
        <w:adjustRightInd/>
        <w:spacing w:line="240" w:lineRule="auto"/>
        <w:textAlignment w:val="auto"/>
        <w:rPr>
          <w:rFonts w:eastAsia="新細明體"/>
          <w:kern w:val="2"/>
          <w:szCs w:val="24"/>
        </w:rPr>
      </w:pPr>
    </w:p>
    <w:p w14:paraId="6216DDE5" w14:textId="77777777" w:rsidR="00A014D6" w:rsidRPr="004D2C0C" w:rsidRDefault="00A014D6" w:rsidP="00A014D6">
      <w:pPr>
        <w:adjustRightInd/>
        <w:spacing w:line="240" w:lineRule="auto"/>
        <w:textAlignment w:val="auto"/>
        <w:rPr>
          <w:rFonts w:ascii="標楷體" w:eastAsia="標楷體" w:hAnsi="標楷體"/>
          <w:b/>
          <w:kern w:val="2"/>
          <w:szCs w:val="24"/>
        </w:rPr>
      </w:pPr>
    </w:p>
    <w:p w14:paraId="224B8411" w14:textId="77777777" w:rsidR="00A014D6" w:rsidRPr="004D2C0C" w:rsidRDefault="00A014D6" w:rsidP="00A014D6">
      <w:pPr>
        <w:spacing w:line="500" w:lineRule="atLeast"/>
        <w:jc w:val="both"/>
        <w:rPr>
          <w:rFonts w:eastAsia="標楷體"/>
        </w:rPr>
        <w:sectPr w:rsidR="00A014D6" w:rsidRPr="004D2C0C" w:rsidSect="00627D8D">
          <w:footerReference w:type="even" r:id="rId8"/>
          <w:footerReference w:type="default" r:id="rId9"/>
          <w:pgSz w:w="11906" w:h="16838"/>
          <w:pgMar w:top="1258" w:right="1701" w:bottom="240" w:left="1701" w:header="851" w:footer="992" w:gutter="0"/>
          <w:pgNumType w:start="1"/>
          <w:cols w:space="425"/>
        </w:sectPr>
      </w:pPr>
    </w:p>
    <w:p w14:paraId="46164CE7" w14:textId="77777777" w:rsidR="00196FFE" w:rsidRPr="004D2C0C" w:rsidRDefault="00196FFE" w:rsidP="00196FFE">
      <w:pPr>
        <w:spacing w:line="500" w:lineRule="atLeast"/>
        <w:ind w:leftChars="-200" w:left="-144" w:rightChars="-300" w:right="-720" w:hangingChars="120" w:hanging="336"/>
        <w:jc w:val="both"/>
        <w:rPr>
          <w:rFonts w:eastAsia="標楷體"/>
          <w:sz w:val="28"/>
          <w:szCs w:val="28"/>
        </w:rPr>
      </w:pPr>
      <w:r w:rsidRPr="004D2C0C">
        <w:rPr>
          <w:rFonts w:eastAsia="標楷體"/>
          <w:sz w:val="28"/>
          <w:szCs w:val="28"/>
        </w:rPr>
        <w:lastRenderedPageBreak/>
        <w:t>附件一</w:t>
      </w:r>
    </w:p>
    <w:p w14:paraId="609113C1" w14:textId="77777777" w:rsidR="00196FFE" w:rsidRPr="004D2C0C" w:rsidRDefault="00196FFE" w:rsidP="00196FFE">
      <w:pPr>
        <w:spacing w:line="500" w:lineRule="atLeast"/>
        <w:ind w:leftChars="-200" w:rightChars="-300" w:right="-720" w:hangingChars="120" w:hanging="480"/>
        <w:jc w:val="center"/>
        <w:rPr>
          <w:rFonts w:eastAsia="標楷體"/>
          <w:b/>
          <w:sz w:val="40"/>
          <w:szCs w:val="40"/>
        </w:rPr>
      </w:pPr>
      <w:r w:rsidRPr="004D2C0C">
        <w:rPr>
          <w:rFonts w:eastAsia="標楷體"/>
          <w:b/>
          <w:sz w:val="40"/>
          <w:szCs w:val="40"/>
        </w:rPr>
        <w:t>輔仁大學民生學院食品科學系教師升等申請與審查方式</w:t>
      </w:r>
    </w:p>
    <w:p w14:paraId="38AFCB26" w14:textId="77777777" w:rsidR="00196FFE" w:rsidRPr="004D2C0C" w:rsidRDefault="00196FFE" w:rsidP="00196FFE">
      <w:pPr>
        <w:spacing w:line="500" w:lineRule="atLeast"/>
        <w:jc w:val="center"/>
        <w:rPr>
          <w:rFonts w:eastAsia="標楷體"/>
          <w:sz w:val="32"/>
        </w:rPr>
      </w:pPr>
    </w:p>
    <w:p w14:paraId="4B114A32" w14:textId="77777777" w:rsidR="00196FFE" w:rsidRPr="004D2C0C" w:rsidRDefault="00196FFE" w:rsidP="00CB7F00">
      <w:pPr>
        <w:pStyle w:val="ab"/>
        <w:numPr>
          <w:ilvl w:val="0"/>
          <w:numId w:val="7"/>
        </w:numPr>
        <w:snapToGrid w:val="0"/>
        <w:spacing w:line="240" w:lineRule="auto"/>
        <w:ind w:leftChars="0" w:left="284"/>
        <w:rPr>
          <w:rFonts w:eastAsia="標楷體"/>
          <w:sz w:val="32"/>
          <w:szCs w:val="32"/>
        </w:rPr>
      </w:pPr>
      <w:r w:rsidRPr="004D2C0C">
        <w:rPr>
          <w:rFonts w:eastAsia="標楷體"/>
          <w:sz w:val="32"/>
          <w:szCs w:val="32"/>
        </w:rPr>
        <w:t>申請人之資料先交由系教評會審查，</w:t>
      </w:r>
      <w:proofErr w:type="gramStart"/>
      <w:r w:rsidRPr="004D2C0C">
        <w:rPr>
          <w:rFonts w:eastAsia="標楷體"/>
          <w:sz w:val="32"/>
          <w:szCs w:val="32"/>
        </w:rPr>
        <w:t>再交院教</w:t>
      </w:r>
      <w:proofErr w:type="gramEnd"/>
      <w:r w:rsidRPr="004D2C0C">
        <w:rPr>
          <w:rFonts w:eastAsia="標楷體"/>
          <w:sz w:val="32"/>
          <w:szCs w:val="32"/>
        </w:rPr>
        <w:t>評會審議。</w:t>
      </w:r>
    </w:p>
    <w:p w14:paraId="71582E63" w14:textId="77777777" w:rsidR="00196FFE" w:rsidRPr="004D2C0C" w:rsidRDefault="00196FFE" w:rsidP="00CB7F00">
      <w:pPr>
        <w:numPr>
          <w:ilvl w:val="0"/>
          <w:numId w:val="7"/>
        </w:numPr>
        <w:snapToGrid w:val="0"/>
        <w:spacing w:line="240" w:lineRule="auto"/>
        <w:ind w:left="360" w:hanging="360"/>
        <w:rPr>
          <w:rFonts w:eastAsia="標楷體"/>
          <w:sz w:val="32"/>
          <w:szCs w:val="32"/>
        </w:rPr>
      </w:pPr>
      <w:r w:rsidRPr="004D2C0C">
        <w:rPr>
          <w:rFonts w:eastAsia="標楷體"/>
          <w:sz w:val="32"/>
          <w:szCs w:val="32"/>
        </w:rPr>
        <w:t>申請人應具之條件：</w:t>
      </w:r>
    </w:p>
    <w:p w14:paraId="5EF87E14" w14:textId="77777777" w:rsidR="00820A47" w:rsidRPr="004D2C0C" w:rsidRDefault="00196FFE" w:rsidP="00CB7F00">
      <w:pPr>
        <w:snapToGrid w:val="0"/>
        <w:spacing w:line="240" w:lineRule="auto"/>
        <w:ind w:leftChars="150" w:left="722" w:hangingChars="113" w:hanging="362"/>
        <w:rPr>
          <w:rFonts w:eastAsia="標楷體"/>
          <w:sz w:val="32"/>
          <w:szCs w:val="32"/>
        </w:rPr>
      </w:pPr>
      <w:r w:rsidRPr="004D2C0C">
        <w:rPr>
          <w:rFonts w:eastAsia="標楷體"/>
          <w:sz w:val="32"/>
          <w:szCs w:val="32"/>
        </w:rPr>
        <w:t>1.</w:t>
      </w:r>
      <w:r w:rsidR="00271182" w:rsidRPr="004D2C0C">
        <w:rPr>
          <w:rFonts w:eastAsia="標楷體"/>
          <w:sz w:val="32"/>
          <w:szCs w:val="32"/>
        </w:rPr>
        <w:t>申請人之基本資</w:t>
      </w:r>
      <w:r w:rsidR="005E752A" w:rsidRPr="004D2C0C">
        <w:rPr>
          <w:rFonts w:eastAsia="標楷體" w:hint="eastAsia"/>
          <w:sz w:val="32"/>
          <w:szCs w:val="32"/>
        </w:rPr>
        <w:t>格</w:t>
      </w:r>
      <w:r w:rsidR="00271182" w:rsidRPr="004D2C0C">
        <w:rPr>
          <w:rFonts w:eastAsia="標楷體"/>
          <w:sz w:val="32"/>
          <w:szCs w:val="32"/>
        </w:rPr>
        <w:t>應符合『輔仁大學教師升等辦法』第二條、第三條相關規定</w:t>
      </w:r>
      <w:r w:rsidRPr="004D2C0C">
        <w:rPr>
          <w:rFonts w:eastAsia="標楷體"/>
          <w:sz w:val="32"/>
          <w:szCs w:val="32"/>
        </w:rPr>
        <w:t>。</w:t>
      </w:r>
    </w:p>
    <w:p w14:paraId="7E09B7AD" w14:textId="77777777" w:rsidR="00196FFE" w:rsidRPr="004D2C0C" w:rsidRDefault="00196FFE" w:rsidP="00CB7F00">
      <w:pPr>
        <w:snapToGrid w:val="0"/>
        <w:spacing w:line="240" w:lineRule="auto"/>
        <w:ind w:leftChars="150" w:left="718" w:hangingChars="112" w:hanging="358"/>
        <w:rPr>
          <w:rFonts w:eastAsia="標楷體"/>
          <w:sz w:val="32"/>
          <w:szCs w:val="32"/>
        </w:rPr>
      </w:pPr>
      <w:r w:rsidRPr="004D2C0C">
        <w:rPr>
          <w:rFonts w:eastAsia="標楷體"/>
          <w:sz w:val="32"/>
          <w:szCs w:val="32"/>
        </w:rPr>
        <w:t>2.</w:t>
      </w:r>
      <w:r w:rsidRPr="004D2C0C">
        <w:rPr>
          <w:rFonts w:eastAsia="標楷體"/>
          <w:sz w:val="32"/>
          <w:szCs w:val="32"/>
        </w:rPr>
        <w:t>在原職級年限內，有論文或著作發表於國外或國內，選其中</w:t>
      </w:r>
      <w:proofErr w:type="gramStart"/>
      <w:r w:rsidRPr="004D2C0C">
        <w:rPr>
          <w:rFonts w:eastAsia="標楷體"/>
          <w:sz w:val="32"/>
          <w:szCs w:val="32"/>
        </w:rPr>
        <w:t>一</w:t>
      </w:r>
      <w:proofErr w:type="gramEnd"/>
      <w:r w:rsidRPr="004D2C0C">
        <w:rPr>
          <w:rFonts w:eastAsia="標楷體"/>
          <w:sz w:val="32"/>
          <w:szCs w:val="32"/>
        </w:rPr>
        <w:t>項為代表</w:t>
      </w:r>
      <w:r w:rsidR="0042101F" w:rsidRPr="004D2C0C">
        <w:rPr>
          <w:rFonts w:eastAsia="標楷體"/>
          <w:sz w:val="32"/>
          <w:szCs w:val="32"/>
        </w:rPr>
        <w:t>著</w:t>
      </w:r>
      <w:r w:rsidRPr="004D2C0C">
        <w:rPr>
          <w:rFonts w:eastAsia="標楷體"/>
          <w:sz w:val="32"/>
          <w:szCs w:val="32"/>
        </w:rPr>
        <w:t>作，其他作品亦附上作為研究成果評審之用。</w:t>
      </w:r>
    </w:p>
    <w:p w14:paraId="55D87610" w14:textId="77777777" w:rsidR="00996624" w:rsidRPr="004D2C0C" w:rsidRDefault="00196FFE" w:rsidP="00CB7F00">
      <w:pPr>
        <w:snapToGrid w:val="0"/>
        <w:spacing w:line="240" w:lineRule="auto"/>
        <w:ind w:leftChars="150" w:left="718" w:hangingChars="112" w:hanging="358"/>
        <w:rPr>
          <w:rFonts w:eastAsia="標楷體"/>
          <w:sz w:val="32"/>
          <w:szCs w:val="32"/>
        </w:rPr>
      </w:pPr>
      <w:r w:rsidRPr="004D2C0C">
        <w:rPr>
          <w:rFonts w:eastAsia="標楷體"/>
          <w:sz w:val="32"/>
          <w:szCs w:val="32"/>
        </w:rPr>
        <w:t>3.</w:t>
      </w:r>
      <w:r w:rsidR="00996624" w:rsidRPr="004D2C0C">
        <w:rPr>
          <w:rFonts w:eastAsia="標楷體"/>
          <w:sz w:val="32"/>
          <w:szCs w:val="32"/>
        </w:rPr>
        <w:t xml:space="preserve"> </w:t>
      </w:r>
      <w:r w:rsidR="00996624" w:rsidRPr="004D2C0C">
        <w:rPr>
          <w:rFonts w:eastAsia="標楷體"/>
          <w:sz w:val="32"/>
          <w:szCs w:val="32"/>
        </w:rPr>
        <w:t>代表作應以輔仁大學之名義發表者，且應為送審人取得前一等級教師資格後之著作；同時，申請者須證明其為代表作之主要作者。</w:t>
      </w:r>
      <w:r w:rsidR="00996624" w:rsidRPr="004D2C0C">
        <w:rPr>
          <w:rFonts w:eastAsia="標楷體"/>
          <w:sz w:val="32"/>
          <w:szCs w:val="32"/>
        </w:rPr>
        <w:t>(</w:t>
      </w:r>
      <w:r w:rsidR="00996624" w:rsidRPr="004D2C0C">
        <w:rPr>
          <w:rFonts w:eastAsia="標楷體"/>
          <w:sz w:val="32"/>
          <w:szCs w:val="32"/>
        </w:rPr>
        <w:t>依學校規定表格填寫</w:t>
      </w:r>
      <w:r w:rsidR="00996624" w:rsidRPr="004D2C0C">
        <w:rPr>
          <w:rFonts w:eastAsia="標楷體"/>
          <w:sz w:val="32"/>
          <w:szCs w:val="32"/>
        </w:rPr>
        <w:t>)</w:t>
      </w:r>
    </w:p>
    <w:p w14:paraId="6C36145C" w14:textId="77777777" w:rsidR="00996624" w:rsidRPr="004D2C0C" w:rsidRDefault="0047340E" w:rsidP="00CB7F00">
      <w:pPr>
        <w:snapToGrid w:val="0"/>
        <w:spacing w:line="240" w:lineRule="auto"/>
        <w:ind w:leftChars="150" w:left="718" w:hangingChars="112" w:hanging="358"/>
        <w:rPr>
          <w:rFonts w:eastAsia="標楷體"/>
          <w:sz w:val="32"/>
          <w:szCs w:val="32"/>
        </w:rPr>
      </w:pPr>
      <w:r w:rsidRPr="004D2C0C">
        <w:rPr>
          <w:rFonts w:eastAsia="標楷體"/>
          <w:sz w:val="32"/>
          <w:szCs w:val="32"/>
        </w:rPr>
        <w:t>4.</w:t>
      </w:r>
      <w:r w:rsidR="00996624" w:rsidRPr="004D2C0C">
        <w:rPr>
          <w:rFonts w:eastAsia="標楷體"/>
          <w:sz w:val="32"/>
          <w:szCs w:val="32"/>
        </w:rPr>
        <w:t xml:space="preserve"> </w:t>
      </w:r>
      <w:r w:rsidR="00996624" w:rsidRPr="004D2C0C">
        <w:rPr>
          <w:rFonts w:eastAsia="標楷體"/>
          <w:sz w:val="32"/>
          <w:szCs w:val="32"/>
        </w:rPr>
        <w:t>參考著作應為送審人取得前一等級教師資格後之著作。</w:t>
      </w:r>
    </w:p>
    <w:p w14:paraId="71B7F160" w14:textId="77777777" w:rsidR="00196FFE" w:rsidRPr="004D2C0C" w:rsidRDefault="0042101F" w:rsidP="00CB7F00">
      <w:pPr>
        <w:snapToGrid w:val="0"/>
        <w:spacing w:line="240" w:lineRule="auto"/>
        <w:rPr>
          <w:rFonts w:eastAsia="標楷體"/>
          <w:sz w:val="32"/>
          <w:szCs w:val="32"/>
        </w:rPr>
      </w:pPr>
      <w:r w:rsidRPr="004D2C0C">
        <w:rPr>
          <w:rFonts w:eastAsia="標楷體"/>
          <w:sz w:val="32"/>
          <w:szCs w:val="32"/>
        </w:rPr>
        <w:t>三、本</w:t>
      </w:r>
      <w:r w:rsidR="00196FFE" w:rsidRPr="004D2C0C">
        <w:rPr>
          <w:rFonts w:eastAsia="標楷體"/>
          <w:sz w:val="32"/>
          <w:szCs w:val="32"/>
        </w:rPr>
        <w:t>系評審作業程序：</w:t>
      </w:r>
    </w:p>
    <w:p w14:paraId="38B3D5B4" w14:textId="77777777" w:rsidR="00196FFE" w:rsidRPr="004D2C0C" w:rsidRDefault="00196FFE" w:rsidP="00CB7F00">
      <w:pPr>
        <w:numPr>
          <w:ilvl w:val="0"/>
          <w:numId w:val="12"/>
        </w:numPr>
        <w:snapToGrid w:val="0"/>
        <w:spacing w:line="240" w:lineRule="auto"/>
        <w:rPr>
          <w:rFonts w:eastAsia="標楷體"/>
          <w:sz w:val="32"/>
          <w:szCs w:val="32"/>
        </w:rPr>
      </w:pPr>
      <w:r w:rsidRPr="004D2C0C">
        <w:rPr>
          <w:rFonts w:eastAsia="標楷體"/>
          <w:sz w:val="32"/>
          <w:szCs w:val="32"/>
        </w:rPr>
        <w:t>申請</w:t>
      </w:r>
      <w:r w:rsidR="000B7D87" w:rsidRPr="004D2C0C">
        <w:rPr>
          <w:rFonts w:eastAsia="標楷體"/>
          <w:sz w:val="32"/>
          <w:szCs w:val="32"/>
        </w:rPr>
        <w:t>教師應先檢具履歷表、</w:t>
      </w:r>
      <w:r w:rsidRPr="004D2C0C">
        <w:rPr>
          <w:rFonts w:eastAsia="標楷體"/>
          <w:sz w:val="32"/>
          <w:szCs w:val="32"/>
        </w:rPr>
        <w:t>代表</w:t>
      </w:r>
      <w:r w:rsidR="000B7D87" w:rsidRPr="004D2C0C">
        <w:rPr>
          <w:rFonts w:eastAsia="標楷體"/>
          <w:sz w:val="32"/>
          <w:szCs w:val="32"/>
        </w:rPr>
        <w:t>著作、參考著作、及教師評鑑審查結果等資料於初審系教評會收件截止日前送人事室審查確認其升等資格要件及資料後，再檢具前項</w:t>
      </w:r>
      <w:proofErr w:type="gramStart"/>
      <w:r w:rsidR="000B7D87" w:rsidRPr="004D2C0C">
        <w:rPr>
          <w:rFonts w:eastAsia="標楷體"/>
          <w:sz w:val="32"/>
          <w:szCs w:val="32"/>
        </w:rPr>
        <w:t>所定表件</w:t>
      </w:r>
      <w:proofErr w:type="gramEnd"/>
      <w:r w:rsidR="000B7D87" w:rsidRPr="004D2C0C">
        <w:rPr>
          <w:rFonts w:eastAsia="標楷體"/>
          <w:sz w:val="32"/>
          <w:szCs w:val="32"/>
        </w:rPr>
        <w:t>及資料，於</w:t>
      </w:r>
      <w:r w:rsidRPr="004D2C0C">
        <w:rPr>
          <w:rFonts w:eastAsia="標楷體"/>
          <w:sz w:val="32"/>
          <w:szCs w:val="32"/>
        </w:rPr>
        <w:t>院評會</w:t>
      </w:r>
      <w:r w:rsidR="00D9596E" w:rsidRPr="004D2C0C">
        <w:rPr>
          <w:rFonts w:eastAsia="標楷體"/>
          <w:sz w:val="32"/>
          <w:szCs w:val="32"/>
        </w:rPr>
        <w:t>一個月</w:t>
      </w:r>
      <w:r w:rsidRPr="004D2C0C">
        <w:rPr>
          <w:rFonts w:eastAsia="標楷體"/>
          <w:sz w:val="32"/>
          <w:szCs w:val="32"/>
        </w:rPr>
        <w:t>前交與系主任，由委員傳閱，再由召集人召集</w:t>
      </w:r>
      <w:r w:rsidR="00044A38" w:rsidRPr="004D2C0C">
        <w:rPr>
          <w:rFonts w:eastAsia="標楷體"/>
          <w:sz w:val="32"/>
          <w:szCs w:val="32"/>
        </w:rPr>
        <w:t>系教評會</w:t>
      </w:r>
      <w:r w:rsidR="0042101F" w:rsidRPr="004D2C0C">
        <w:rPr>
          <w:rFonts w:eastAsia="標楷體"/>
          <w:sz w:val="32"/>
          <w:szCs w:val="32"/>
        </w:rPr>
        <w:t>議</w:t>
      </w:r>
      <w:r w:rsidR="00044A38" w:rsidRPr="004D2C0C">
        <w:rPr>
          <w:rFonts w:eastAsia="標楷體"/>
          <w:sz w:val="32"/>
          <w:szCs w:val="32"/>
        </w:rPr>
        <w:t>，就申請人之年資、品德及教學、研究、輔導及服務等成果，依其相關規定初審作業之綜合審查，經表決通過同意其辦理升等後，檢附會議紀錄，送請院教評會進行</w:t>
      </w:r>
      <w:proofErr w:type="gramStart"/>
      <w:r w:rsidR="00044A38" w:rsidRPr="004D2C0C">
        <w:rPr>
          <w:rFonts w:eastAsia="標楷體"/>
          <w:sz w:val="32"/>
          <w:szCs w:val="32"/>
        </w:rPr>
        <w:t>複</w:t>
      </w:r>
      <w:proofErr w:type="gramEnd"/>
      <w:r w:rsidR="00044A38" w:rsidRPr="004D2C0C">
        <w:rPr>
          <w:rFonts w:eastAsia="標楷體"/>
          <w:sz w:val="32"/>
          <w:szCs w:val="32"/>
        </w:rPr>
        <w:t>審作業</w:t>
      </w:r>
      <w:r w:rsidRPr="004D2C0C">
        <w:rPr>
          <w:rFonts w:eastAsia="標楷體"/>
          <w:sz w:val="32"/>
          <w:szCs w:val="32"/>
        </w:rPr>
        <w:t>。</w:t>
      </w:r>
    </w:p>
    <w:p w14:paraId="661A2E88" w14:textId="109619DE" w:rsidR="00196FFE" w:rsidRPr="004D2C0C" w:rsidRDefault="00196FFE" w:rsidP="00CB7F00">
      <w:pPr>
        <w:numPr>
          <w:ilvl w:val="0"/>
          <w:numId w:val="12"/>
        </w:numPr>
        <w:snapToGrid w:val="0"/>
        <w:spacing w:line="240" w:lineRule="auto"/>
        <w:rPr>
          <w:rFonts w:eastAsia="標楷體"/>
          <w:sz w:val="32"/>
          <w:szCs w:val="32"/>
        </w:rPr>
      </w:pPr>
      <w:r w:rsidRPr="004D2C0C">
        <w:rPr>
          <w:rFonts w:eastAsia="標楷體"/>
          <w:sz w:val="32"/>
          <w:szCs w:val="32"/>
        </w:rPr>
        <w:t>所有評審</w:t>
      </w:r>
      <w:proofErr w:type="gramStart"/>
      <w:r w:rsidRPr="004D2C0C">
        <w:rPr>
          <w:rFonts w:eastAsia="標楷體"/>
          <w:sz w:val="32"/>
          <w:szCs w:val="32"/>
        </w:rPr>
        <w:t>委員均有評分</w:t>
      </w:r>
      <w:proofErr w:type="gramEnd"/>
      <w:r w:rsidRPr="004D2C0C">
        <w:rPr>
          <w:rFonts w:eastAsia="標楷體"/>
          <w:sz w:val="32"/>
          <w:szCs w:val="32"/>
        </w:rPr>
        <w:t>表一份</w:t>
      </w:r>
      <w:r w:rsidR="0042101F" w:rsidRPr="004D2C0C">
        <w:rPr>
          <w:rFonts w:eastAsia="標楷體"/>
          <w:sz w:val="32"/>
          <w:szCs w:val="32"/>
        </w:rPr>
        <w:t>(</w:t>
      </w:r>
      <w:r w:rsidR="0042101F" w:rsidRPr="004D2C0C">
        <w:rPr>
          <w:rFonts w:eastAsia="標楷體"/>
          <w:sz w:val="32"/>
          <w:szCs w:val="32"/>
        </w:rPr>
        <w:t>附件</w:t>
      </w:r>
      <w:r w:rsidR="00C72597" w:rsidRPr="004D2C0C">
        <w:rPr>
          <w:rFonts w:eastAsia="標楷體" w:hint="eastAsia"/>
          <w:sz w:val="32"/>
          <w:szCs w:val="32"/>
        </w:rPr>
        <w:t>二</w:t>
      </w:r>
      <w:r w:rsidR="0042101F" w:rsidRPr="004D2C0C">
        <w:rPr>
          <w:rFonts w:eastAsia="標楷體"/>
          <w:sz w:val="32"/>
          <w:szCs w:val="32"/>
        </w:rPr>
        <w:t>)</w:t>
      </w:r>
      <w:r w:rsidRPr="004D2C0C">
        <w:rPr>
          <w:rFonts w:eastAsia="標楷體"/>
          <w:sz w:val="32"/>
          <w:szCs w:val="32"/>
        </w:rPr>
        <w:t>，就</w:t>
      </w:r>
      <w:r w:rsidR="00291BB0" w:rsidRPr="004D2C0C">
        <w:rPr>
          <w:rFonts w:eastAsia="標楷體"/>
          <w:sz w:val="32"/>
          <w:szCs w:val="32"/>
        </w:rPr>
        <w:t>申請人</w:t>
      </w:r>
      <w:r w:rsidR="004D2C0C" w:rsidRPr="004D2C0C">
        <w:rPr>
          <w:rFonts w:eastAsia="標楷體" w:hint="eastAsia"/>
          <w:sz w:val="32"/>
          <w:szCs w:val="32"/>
        </w:rPr>
        <w:t>專業學術表現</w:t>
      </w:r>
      <w:r w:rsidRPr="004D2C0C">
        <w:rPr>
          <w:rFonts w:eastAsia="標楷體"/>
          <w:sz w:val="32"/>
          <w:szCs w:val="32"/>
        </w:rPr>
        <w:t>、教學、服務</w:t>
      </w:r>
      <w:r w:rsidR="00D9596E" w:rsidRPr="004D2C0C">
        <w:rPr>
          <w:rFonts w:eastAsia="標楷體"/>
          <w:sz w:val="32"/>
          <w:szCs w:val="32"/>
        </w:rPr>
        <w:t>及輔導</w:t>
      </w:r>
      <w:r w:rsidRPr="004D2C0C">
        <w:rPr>
          <w:rFonts w:eastAsia="標楷體"/>
          <w:sz w:val="32"/>
          <w:szCs w:val="32"/>
        </w:rPr>
        <w:t>，以不具名形式予以評分。</w:t>
      </w:r>
    </w:p>
    <w:p w14:paraId="157816F0" w14:textId="77777777" w:rsidR="00196FFE" w:rsidRPr="004D2C0C" w:rsidRDefault="00196FFE" w:rsidP="00CB7F00">
      <w:pPr>
        <w:numPr>
          <w:ilvl w:val="0"/>
          <w:numId w:val="12"/>
        </w:numPr>
        <w:snapToGrid w:val="0"/>
        <w:spacing w:line="240" w:lineRule="auto"/>
        <w:rPr>
          <w:rFonts w:eastAsia="標楷體"/>
          <w:sz w:val="32"/>
          <w:szCs w:val="32"/>
        </w:rPr>
      </w:pPr>
      <w:r w:rsidRPr="004D2C0C">
        <w:rPr>
          <w:rFonts w:eastAsia="標楷體"/>
          <w:sz w:val="32"/>
          <w:szCs w:val="32"/>
        </w:rPr>
        <w:t>各項評分分成四級，分為特優、優良、普通、欠佳、各以</w:t>
      </w:r>
      <w:r w:rsidRPr="004D2C0C">
        <w:rPr>
          <w:rFonts w:eastAsia="標楷體"/>
          <w:sz w:val="32"/>
          <w:szCs w:val="32"/>
        </w:rPr>
        <w:t>90-100</w:t>
      </w:r>
      <w:r w:rsidRPr="004D2C0C">
        <w:rPr>
          <w:rFonts w:eastAsia="標楷體"/>
          <w:sz w:val="32"/>
          <w:szCs w:val="32"/>
        </w:rPr>
        <w:t>、</w:t>
      </w:r>
      <w:r w:rsidRPr="004D2C0C">
        <w:rPr>
          <w:rFonts w:eastAsia="標楷體"/>
          <w:sz w:val="32"/>
          <w:szCs w:val="32"/>
        </w:rPr>
        <w:t>80-89</w:t>
      </w:r>
      <w:r w:rsidRPr="004D2C0C">
        <w:rPr>
          <w:rFonts w:eastAsia="標楷體"/>
          <w:sz w:val="32"/>
          <w:szCs w:val="32"/>
        </w:rPr>
        <w:t>、</w:t>
      </w:r>
      <w:r w:rsidRPr="004D2C0C">
        <w:rPr>
          <w:rFonts w:eastAsia="標楷體"/>
          <w:sz w:val="32"/>
          <w:szCs w:val="32"/>
        </w:rPr>
        <w:t>70-79</w:t>
      </w:r>
      <w:r w:rsidRPr="004D2C0C">
        <w:rPr>
          <w:rFonts w:eastAsia="標楷體"/>
          <w:sz w:val="32"/>
          <w:szCs w:val="32"/>
        </w:rPr>
        <w:t>、</w:t>
      </w:r>
      <w:r w:rsidRPr="004D2C0C">
        <w:rPr>
          <w:rFonts w:eastAsia="標楷體"/>
          <w:sz w:val="32"/>
          <w:szCs w:val="32"/>
        </w:rPr>
        <w:t>69</w:t>
      </w:r>
      <w:r w:rsidRPr="004D2C0C">
        <w:rPr>
          <w:rFonts w:eastAsia="標楷體"/>
          <w:sz w:val="32"/>
          <w:szCs w:val="32"/>
        </w:rPr>
        <w:t>分以下代表。</w:t>
      </w:r>
    </w:p>
    <w:p w14:paraId="3B14AE82" w14:textId="77777777" w:rsidR="00196FFE" w:rsidRPr="004D2C0C" w:rsidRDefault="00B56D21" w:rsidP="00CB7F00">
      <w:pPr>
        <w:numPr>
          <w:ilvl w:val="0"/>
          <w:numId w:val="12"/>
        </w:numPr>
        <w:snapToGrid w:val="0"/>
        <w:spacing w:line="240" w:lineRule="auto"/>
        <w:rPr>
          <w:rFonts w:eastAsia="標楷體"/>
          <w:sz w:val="32"/>
          <w:szCs w:val="32"/>
        </w:rPr>
      </w:pPr>
      <w:r w:rsidRPr="004D2C0C">
        <w:rPr>
          <w:rFonts w:eastAsia="標楷體"/>
          <w:sz w:val="32"/>
          <w:szCs w:val="32"/>
        </w:rPr>
        <w:t>由召集人當場計分統計各項之平均數與</w:t>
      </w:r>
      <w:r w:rsidR="0042101F" w:rsidRPr="004D2C0C">
        <w:rPr>
          <w:rFonts w:eastAsia="標楷體"/>
          <w:sz w:val="32"/>
          <w:szCs w:val="32"/>
        </w:rPr>
        <w:t>總</w:t>
      </w:r>
      <w:r w:rsidRPr="004D2C0C">
        <w:rPr>
          <w:rFonts w:eastAsia="標楷體"/>
          <w:sz w:val="32"/>
          <w:szCs w:val="32"/>
        </w:rPr>
        <w:t>平均數，列表並具名做為委員會之評審結果，並</w:t>
      </w:r>
      <w:proofErr w:type="gramStart"/>
      <w:r w:rsidRPr="004D2C0C">
        <w:rPr>
          <w:rFonts w:eastAsia="標楷體"/>
          <w:sz w:val="32"/>
          <w:szCs w:val="32"/>
        </w:rPr>
        <w:t>將此表與</w:t>
      </w:r>
      <w:proofErr w:type="gramEnd"/>
      <w:r w:rsidRPr="004D2C0C">
        <w:rPr>
          <w:rFonts w:eastAsia="標楷體"/>
          <w:sz w:val="32"/>
          <w:szCs w:val="32"/>
        </w:rPr>
        <w:t>原始填表</w:t>
      </w:r>
      <w:proofErr w:type="gramStart"/>
      <w:r w:rsidRPr="004D2C0C">
        <w:rPr>
          <w:rFonts w:eastAsia="標楷體"/>
          <w:sz w:val="32"/>
          <w:szCs w:val="32"/>
        </w:rPr>
        <w:t>密封交</w:t>
      </w:r>
      <w:r w:rsidR="0042101F" w:rsidRPr="004D2C0C">
        <w:rPr>
          <w:rFonts w:eastAsia="標楷體"/>
          <w:sz w:val="32"/>
          <w:szCs w:val="32"/>
        </w:rPr>
        <w:t>院</w:t>
      </w:r>
      <w:r w:rsidRPr="004D2C0C">
        <w:rPr>
          <w:rFonts w:eastAsia="標楷體"/>
          <w:sz w:val="32"/>
          <w:szCs w:val="32"/>
        </w:rPr>
        <w:t>教</w:t>
      </w:r>
      <w:proofErr w:type="gramEnd"/>
      <w:r w:rsidRPr="004D2C0C">
        <w:rPr>
          <w:rFonts w:eastAsia="標楷體"/>
          <w:sz w:val="32"/>
          <w:szCs w:val="32"/>
        </w:rPr>
        <w:t>評會。</w:t>
      </w:r>
    </w:p>
    <w:p w14:paraId="23778958" w14:textId="77777777" w:rsidR="00291BB0" w:rsidRPr="004D2C0C" w:rsidRDefault="00291BB0" w:rsidP="00291BB0">
      <w:pPr>
        <w:ind w:left="722"/>
        <w:jc w:val="both"/>
        <w:rPr>
          <w:rFonts w:eastAsia="標楷體"/>
          <w:sz w:val="32"/>
          <w:szCs w:val="32"/>
        </w:rPr>
      </w:pPr>
    </w:p>
    <w:p w14:paraId="3BDCBFD3" w14:textId="77777777" w:rsidR="00725913" w:rsidRPr="004D2C0C" w:rsidRDefault="00725913" w:rsidP="00725913">
      <w:pPr>
        <w:jc w:val="both"/>
        <w:rPr>
          <w:rFonts w:eastAsia="標楷體"/>
          <w:sz w:val="32"/>
          <w:szCs w:val="32"/>
        </w:rPr>
      </w:pPr>
    </w:p>
    <w:p w14:paraId="1EB7C6BD" w14:textId="77777777" w:rsidR="00CB7F00" w:rsidRPr="004D2C0C" w:rsidRDefault="00CB7F00">
      <w:pPr>
        <w:widowControl/>
        <w:adjustRightInd/>
        <w:spacing w:line="240" w:lineRule="auto"/>
        <w:textAlignment w:val="auto"/>
        <w:rPr>
          <w:rFonts w:eastAsia="標楷體"/>
          <w:sz w:val="32"/>
          <w:szCs w:val="32"/>
        </w:rPr>
      </w:pPr>
      <w:r w:rsidRPr="004D2C0C">
        <w:rPr>
          <w:rFonts w:eastAsia="標楷體"/>
          <w:sz w:val="32"/>
          <w:szCs w:val="32"/>
        </w:rPr>
        <w:br w:type="page"/>
      </w:r>
    </w:p>
    <w:p w14:paraId="0B500646" w14:textId="77777777" w:rsidR="001274F6" w:rsidRPr="004D2C0C" w:rsidRDefault="001274F6" w:rsidP="001274F6">
      <w:pPr>
        <w:spacing w:line="500" w:lineRule="atLeast"/>
        <w:rPr>
          <w:rFonts w:eastAsia="標楷體"/>
          <w:sz w:val="28"/>
          <w:szCs w:val="28"/>
        </w:rPr>
      </w:pPr>
      <w:r w:rsidRPr="004D2C0C">
        <w:rPr>
          <w:rFonts w:eastAsia="標楷體"/>
          <w:sz w:val="28"/>
          <w:szCs w:val="28"/>
        </w:rPr>
        <w:lastRenderedPageBreak/>
        <w:t>附件</w:t>
      </w:r>
      <w:r w:rsidR="00C72597" w:rsidRPr="004D2C0C">
        <w:rPr>
          <w:rFonts w:eastAsia="標楷體" w:hint="eastAsia"/>
          <w:sz w:val="28"/>
          <w:szCs w:val="28"/>
        </w:rPr>
        <w:t>二</w:t>
      </w:r>
    </w:p>
    <w:p w14:paraId="180D5518" w14:textId="77777777" w:rsidR="001274F6" w:rsidRPr="004D2C0C" w:rsidRDefault="001274F6" w:rsidP="001274F6">
      <w:pPr>
        <w:spacing w:line="500" w:lineRule="atLeast"/>
        <w:jc w:val="center"/>
        <w:rPr>
          <w:rFonts w:eastAsia="標楷體"/>
          <w:b/>
          <w:sz w:val="40"/>
          <w:szCs w:val="40"/>
        </w:rPr>
      </w:pPr>
      <w:r w:rsidRPr="004D2C0C">
        <w:rPr>
          <w:rFonts w:eastAsia="標楷體"/>
          <w:b/>
          <w:sz w:val="40"/>
          <w:szCs w:val="40"/>
        </w:rPr>
        <w:t>輔仁大學民生學院食品</w:t>
      </w:r>
      <w:proofErr w:type="gramStart"/>
      <w:r w:rsidRPr="004D2C0C">
        <w:rPr>
          <w:rFonts w:eastAsia="標楷體"/>
          <w:b/>
          <w:sz w:val="40"/>
          <w:szCs w:val="40"/>
        </w:rPr>
        <w:t>科學系升等</w:t>
      </w:r>
      <w:proofErr w:type="gramEnd"/>
      <w:r w:rsidRPr="004D2C0C">
        <w:rPr>
          <w:rFonts w:eastAsia="標楷體"/>
          <w:b/>
          <w:sz w:val="40"/>
          <w:szCs w:val="40"/>
        </w:rPr>
        <w:t>教授審查表</w:t>
      </w:r>
    </w:p>
    <w:p w14:paraId="52862CE5" w14:textId="77777777" w:rsidR="001274F6" w:rsidRPr="004D2C0C" w:rsidRDefault="001274F6" w:rsidP="001274F6">
      <w:pPr>
        <w:spacing w:line="500" w:lineRule="atLeast"/>
        <w:jc w:val="center"/>
        <w:rPr>
          <w:rFonts w:eastAsia="標楷體"/>
          <w:sz w:val="32"/>
        </w:rPr>
      </w:pPr>
    </w:p>
    <w:p w14:paraId="0075295B" w14:textId="77777777" w:rsidR="001274F6" w:rsidRPr="004D2C0C" w:rsidRDefault="001274F6" w:rsidP="001274F6">
      <w:pPr>
        <w:spacing w:line="500" w:lineRule="atLeast"/>
        <w:jc w:val="center"/>
        <w:rPr>
          <w:rFonts w:eastAsia="標楷體"/>
          <w:sz w:val="32"/>
        </w:rPr>
      </w:pPr>
    </w:p>
    <w:p w14:paraId="29C04B92" w14:textId="77777777" w:rsidR="001274F6" w:rsidRPr="004D2C0C" w:rsidRDefault="001274F6" w:rsidP="001274F6">
      <w:pPr>
        <w:spacing w:line="500" w:lineRule="atLeast"/>
        <w:jc w:val="center"/>
        <w:rPr>
          <w:rFonts w:eastAsia="標楷體"/>
          <w:sz w:val="32"/>
        </w:rPr>
      </w:pPr>
    </w:p>
    <w:p w14:paraId="511FECC4" w14:textId="77777777" w:rsidR="001274F6" w:rsidRPr="004D2C0C" w:rsidRDefault="001274F6" w:rsidP="001274F6">
      <w:pPr>
        <w:spacing w:line="500" w:lineRule="atLeast"/>
        <w:jc w:val="center"/>
        <w:rPr>
          <w:rFonts w:eastAsia="標楷體"/>
          <w:sz w:val="32"/>
        </w:rPr>
      </w:pPr>
    </w:p>
    <w:p w14:paraId="50CB008B" w14:textId="77777777" w:rsidR="001274F6" w:rsidRPr="004D2C0C" w:rsidRDefault="001274F6" w:rsidP="001274F6">
      <w:pPr>
        <w:spacing w:line="500" w:lineRule="atLeast"/>
        <w:jc w:val="both"/>
        <w:rPr>
          <w:rFonts w:eastAsia="標楷體"/>
          <w:sz w:val="32"/>
        </w:rPr>
      </w:pPr>
      <w:r w:rsidRPr="004D2C0C">
        <w:rPr>
          <w:rFonts w:eastAsia="標楷體"/>
          <w:sz w:val="32"/>
        </w:rPr>
        <w:t>升等申請人</w:t>
      </w:r>
      <w:r w:rsidR="001135F0" w:rsidRPr="004D2C0C">
        <w:rPr>
          <w:rFonts w:eastAsia="標楷體" w:hint="eastAsia"/>
          <w:sz w:val="32"/>
        </w:rPr>
        <w:t>：</w:t>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ab/>
      </w:r>
      <w:r w:rsidR="001135F0" w:rsidRPr="004D2C0C">
        <w:rPr>
          <w:rFonts w:eastAsia="標楷體" w:hint="eastAsia"/>
          <w:sz w:val="32"/>
        </w:rPr>
        <w:t xml:space="preserve">   </w:t>
      </w:r>
      <w:r w:rsidRPr="004D2C0C">
        <w:rPr>
          <w:rFonts w:eastAsia="標楷體"/>
          <w:sz w:val="32"/>
        </w:rPr>
        <w:t>年資</w:t>
      </w:r>
      <w:r w:rsidR="001135F0" w:rsidRPr="004D2C0C">
        <w:rPr>
          <w:rFonts w:eastAsia="標楷體" w:hint="eastAsia"/>
          <w:sz w:val="32"/>
        </w:rPr>
        <w:t>：</w:t>
      </w:r>
    </w:p>
    <w:p w14:paraId="16E0B4DB" w14:textId="77777777" w:rsidR="001274F6" w:rsidRPr="004D2C0C" w:rsidRDefault="001274F6" w:rsidP="001274F6">
      <w:pPr>
        <w:spacing w:line="500" w:lineRule="atLeast"/>
        <w:jc w:val="both"/>
        <w:rPr>
          <w:rFonts w:eastAsia="標楷體"/>
          <w:sz w:val="32"/>
        </w:rPr>
      </w:pPr>
    </w:p>
    <w:p w14:paraId="4586FFAA" w14:textId="77777777" w:rsidR="001274F6" w:rsidRPr="004D2C0C" w:rsidRDefault="001274F6" w:rsidP="001274F6">
      <w:pPr>
        <w:spacing w:line="500" w:lineRule="atLeast"/>
        <w:jc w:val="both"/>
        <w:rPr>
          <w:rFonts w:eastAsia="標楷體"/>
          <w:sz w:val="32"/>
        </w:rPr>
      </w:pPr>
      <w:r w:rsidRPr="004D2C0C">
        <w:rPr>
          <w:rFonts w:eastAsia="標楷體"/>
          <w:sz w:val="32"/>
        </w:rPr>
        <w:t>升等等級</w:t>
      </w:r>
      <w:r w:rsidR="001135F0" w:rsidRPr="004D2C0C">
        <w:rPr>
          <w:rFonts w:eastAsia="標楷體" w:hint="eastAsia"/>
          <w:sz w:val="32"/>
        </w:rPr>
        <w:t>：</w:t>
      </w:r>
      <w:r w:rsidR="001135F0" w:rsidRPr="004D2C0C">
        <w:rPr>
          <w:rFonts w:eastAsia="標楷體" w:hint="eastAsia"/>
          <w:sz w:val="32"/>
        </w:rPr>
        <w:t xml:space="preserve">  </w:t>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現在等級</w:t>
      </w:r>
      <w:r w:rsidR="001135F0" w:rsidRPr="004D2C0C">
        <w:rPr>
          <w:rFonts w:eastAsia="標楷體" w:hint="eastAsia"/>
          <w:sz w:val="32"/>
        </w:rPr>
        <w:t>：</w:t>
      </w:r>
    </w:p>
    <w:p w14:paraId="670AE8E2" w14:textId="77777777" w:rsidR="001274F6" w:rsidRPr="004D2C0C" w:rsidRDefault="001274F6" w:rsidP="001274F6">
      <w:pPr>
        <w:spacing w:line="500" w:lineRule="atLeast"/>
        <w:jc w:val="both"/>
        <w:rPr>
          <w:rFonts w:eastAsia="標楷體"/>
          <w:sz w:val="32"/>
        </w:rPr>
      </w:pPr>
    </w:p>
    <w:tbl>
      <w:tblPr>
        <w:tblW w:w="9540" w:type="dxa"/>
        <w:tblInd w:w="-152" w:type="dxa"/>
        <w:tblLayout w:type="fixed"/>
        <w:tblCellMar>
          <w:left w:w="28" w:type="dxa"/>
          <w:right w:w="28" w:type="dxa"/>
        </w:tblCellMar>
        <w:tblLook w:val="0000" w:firstRow="0" w:lastRow="0" w:firstColumn="0" w:lastColumn="0" w:noHBand="0" w:noVBand="0"/>
      </w:tblPr>
      <w:tblGrid>
        <w:gridCol w:w="3060"/>
        <w:gridCol w:w="1620"/>
        <w:gridCol w:w="1620"/>
        <w:gridCol w:w="1620"/>
        <w:gridCol w:w="1620"/>
      </w:tblGrid>
      <w:tr w:rsidR="001274F6" w:rsidRPr="004D2C0C" w14:paraId="5517CE7B" w14:textId="77777777" w:rsidTr="005B5539">
        <w:tc>
          <w:tcPr>
            <w:tcW w:w="3060" w:type="dxa"/>
            <w:tcBorders>
              <w:top w:val="single" w:sz="6" w:space="0" w:color="auto"/>
              <w:left w:val="single" w:sz="6" w:space="0" w:color="auto"/>
              <w:bottom w:val="single" w:sz="6" w:space="0" w:color="auto"/>
              <w:right w:val="single" w:sz="6" w:space="0" w:color="auto"/>
              <w:tl2br w:val="single" w:sz="6" w:space="0" w:color="auto"/>
            </w:tcBorders>
          </w:tcPr>
          <w:p w14:paraId="289514EC" w14:textId="77777777" w:rsidR="001274F6" w:rsidRPr="004D2C0C" w:rsidRDefault="001274F6" w:rsidP="005B5539">
            <w:pPr>
              <w:spacing w:line="500" w:lineRule="atLeast"/>
              <w:jc w:val="both"/>
              <w:rPr>
                <w:rFonts w:eastAsia="標楷體"/>
                <w:sz w:val="32"/>
              </w:rPr>
            </w:pPr>
            <w:r w:rsidRPr="004D2C0C">
              <w:rPr>
                <w:rFonts w:eastAsia="標楷體"/>
                <w:sz w:val="32"/>
              </w:rPr>
              <w:t xml:space="preserve">      </w:t>
            </w:r>
            <w:r w:rsidRPr="004D2C0C">
              <w:rPr>
                <w:rFonts w:eastAsia="標楷體"/>
                <w:sz w:val="32"/>
              </w:rPr>
              <w:t>等級</w:t>
            </w:r>
          </w:p>
          <w:p w14:paraId="7A506E02" w14:textId="77777777" w:rsidR="001274F6" w:rsidRPr="004D2C0C" w:rsidRDefault="001274F6" w:rsidP="005B5539">
            <w:pPr>
              <w:spacing w:line="500" w:lineRule="atLeast"/>
              <w:jc w:val="both"/>
              <w:rPr>
                <w:rFonts w:eastAsia="標楷體"/>
                <w:sz w:val="32"/>
              </w:rPr>
            </w:pPr>
            <w:r w:rsidRPr="004D2C0C">
              <w:rPr>
                <w:rFonts w:eastAsia="標楷體"/>
                <w:sz w:val="32"/>
              </w:rPr>
              <w:t>項目</w:t>
            </w:r>
          </w:p>
        </w:tc>
        <w:tc>
          <w:tcPr>
            <w:tcW w:w="1620" w:type="dxa"/>
            <w:tcBorders>
              <w:top w:val="single" w:sz="6" w:space="0" w:color="auto"/>
              <w:left w:val="single" w:sz="6" w:space="0" w:color="auto"/>
              <w:bottom w:val="single" w:sz="6" w:space="0" w:color="auto"/>
              <w:right w:val="single" w:sz="6" w:space="0" w:color="auto"/>
            </w:tcBorders>
          </w:tcPr>
          <w:p w14:paraId="7A993F7B" w14:textId="77777777" w:rsidR="001274F6" w:rsidRPr="004D2C0C" w:rsidRDefault="001274F6" w:rsidP="005B5539">
            <w:pPr>
              <w:spacing w:before="240" w:line="500" w:lineRule="atLeast"/>
              <w:jc w:val="center"/>
              <w:rPr>
                <w:rFonts w:eastAsia="標楷體"/>
                <w:sz w:val="32"/>
              </w:rPr>
            </w:pPr>
            <w:r w:rsidRPr="004D2C0C">
              <w:rPr>
                <w:rFonts w:eastAsia="標楷體"/>
                <w:sz w:val="32"/>
              </w:rPr>
              <w:t>特優</w:t>
            </w:r>
          </w:p>
          <w:p w14:paraId="64253C28" w14:textId="77777777" w:rsidR="001274F6" w:rsidRPr="004D2C0C" w:rsidRDefault="001274F6" w:rsidP="005B5539">
            <w:pPr>
              <w:spacing w:before="240" w:line="500" w:lineRule="atLeast"/>
              <w:jc w:val="center"/>
              <w:rPr>
                <w:rFonts w:eastAsia="標楷體"/>
                <w:sz w:val="32"/>
              </w:rPr>
            </w:pPr>
            <w:r w:rsidRPr="004D2C0C">
              <w:rPr>
                <w:rFonts w:eastAsia="標楷體"/>
                <w:sz w:val="32"/>
              </w:rPr>
              <w:t>(90-100)</w:t>
            </w:r>
          </w:p>
        </w:tc>
        <w:tc>
          <w:tcPr>
            <w:tcW w:w="1620" w:type="dxa"/>
            <w:tcBorders>
              <w:top w:val="single" w:sz="6" w:space="0" w:color="auto"/>
              <w:left w:val="single" w:sz="6" w:space="0" w:color="auto"/>
              <w:bottom w:val="single" w:sz="6" w:space="0" w:color="auto"/>
              <w:right w:val="single" w:sz="6" w:space="0" w:color="auto"/>
            </w:tcBorders>
          </w:tcPr>
          <w:p w14:paraId="0381A8B8" w14:textId="77777777" w:rsidR="001274F6" w:rsidRPr="004D2C0C" w:rsidRDefault="001274F6" w:rsidP="005B5539">
            <w:pPr>
              <w:spacing w:before="240" w:line="500" w:lineRule="atLeast"/>
              <w:jc w:val="center"/>
              <w:rPr>
                <w:rFonts w:eastAsia="標楷體"/>
                <w:sz w:val="32"/>
              </w:rPr>
            </w:pPr>
            <w:r w:rsidRPr="004D2C0C">
              <w:rPr>
                <w:rFonts w:eastAsia="標楷體"/>
                <w:sz w:val="32"/>
              </w:rPr>
              <w:t>優良</w:t>
            </w:r>
          </w:p>
          <w:p w14:paraId="20325AAF" w14:textId="77777777" w:rsidR="001274F6" w:rsidRPr="004D2C0C" w:rsidRDefault="001274F6" w:rsidP="005B5539">
            <w:pPr>
              <w:spacing w:before="240" w:line="500" w:lineRule="atLeast"/>
              <w:jc w:val="center"/>
              <w:rPr>
                <w:rFonts w:eastAsia="標楷體"/>
                <w:sz w:val="32"/>
              </w:rPr>
            </w:pPr>
            <w:r w:rsidRPr="004D2C0C">
              <w:rPr>
                <w:rFonts w:eastAsia="標楷體"/>
                <w:sz w:val="32"/>
              </w:rPr>
              <w:t>(89-80)</w:t>
            </w:r>
          </w:p>
        </w:tc>
        <w:tc>
          <w:tcPr>
            <w:tcW w:w="1620" w:type="dxa"/>
            <w:tcBorders>
              <w:top w:val="single" w:sz="6" w:space="0" w:color="auto"/>
              <w:left w:val="single" w:sz="6" w:space="0" w:color="auto"/>
              <w:bottom w:val="single" w:sz="6" w:space="0" w:color="auto"/>
              <w:right w:val="single" w:sz="6" w:space="0" w:color="auto"/>
            </w:tcBorders>
          </w:tcPr>
          <w:p w14:paraId="46CDBC1F" w14:textId="77777777" w:rsidR="001274F6" w:rsidRPr="004D2C0C" w:rsidRDefault="001274F6" w:rsidP="005B5539">
            <w:pPr>
              <w:spacing w:before="240" w:line="500" w:lineRule="atLeast"/>
              <w:jc w:val="center"/>
              <w:rPr>
                <w:rFonts w:eastAsia="標楷體"/>
                <w:sz w:val="32"/>
              </w:rPr>
            </w:pPr>
            <w:r w:rsidRPr="004D2C0C">
              <w:rPr>
                <w:rFonts w:eastAsia="標楷體"/>
                <w:sz w:val="32"/>
              </w:rPr>
              <w:t>普通</w:t>
            </w:r>
          </w:p>
          <w:p w14:paraId="5DB6D537" w14:textId="77777777" w:rsidR="001274F6" w:rsidRPr="004D2C0C" w:rsidRDefault="001274F6" w:rsidP="005B5539">
            <w:pPr>
              <w:spacing w:before="240" w:line="500" w:lineRule="atLeast"/>
              <w:jc w:val="center"/>
              <w:rPr>
                <w:rFonts w:eastAsia="標楷體"/>
                <w:sz w:val="32"/>
              </w:rPr>
            </w:pPr>
            <w:r w:rsidRPr="004D2C0C">
              <w:rPr>
                <w:rFonts w:eastAsia="標楷體"/>
                <w:sz w:val="32"/>
              </w:rPr>
              <w:t>(70-79)</w:t>
            </w:r>
          </w:p>
        </w:tc>
        <w:tc>
          <w:tcPr>
            <w:tcW w:w="1620" w:type="dxa"/>
            <w:tcBorders>
              <w:top w:val="single" w:sz="6" w:space="0" w:color="auto"/>
              <w:left w:val="single" w:sz="6" w:space="0" w:color="auto"/>
              <w:bottom w:val="single" w:sz="6" w:space="0" w:color="auto"/>
              <w:right w:val="single" w:sz="6" w:space="0" w:color="auto"/>
            </w:tcBorders>
          </w:tcPr>
          <w:p w14:paraId="4A1E84A8" w14:textId="77777777" w:rsidR="001274F6" w:rsidRPr="004D2C0C" w:rsidRDefault="001274F6" w:rsidP="005B5539">
            <w:pPr>
              <w:spacing w:before="240" w:line="500" w:lineRule="atLeast"/>
              <w:jc w:val="center"/>
              <w:rPr>
                <w:rFonts w:eastAsia="標楷體"/>
                <w:sz w:val="32"/>
              </w:rPr>
            </w:pPr>
            <w:r w:rsidRPr="004D2C0C">
              <w:rPr>
                <w:rFonts w:eastAsia="標楷體"/>
                <w:sz w:val="32"/>
              </w:rPr>
              <w:t>欠佳</w:t>
            </w:r>
          </w:p>
          <w:p w14:paraId="0FD40D88" w14:textId="77777777" w:rsidR="001274F6" w:rsidRPr="004D2C0C" w:rsidRDefault="001274F6" w:rsidP="005B5539">
            <w:pPr>
              <w:spacing w:before="240" w:line="500" w:lineRule="atLeast"/>
              <w:jc w:val="center"/>
              <w:rPr>
                <w:rFonts w:eastAsia="標楷體"/>
                <w:sz w:val="32"/>
              </w:rPr>
            </w:pPr>
            <w:r w:rsidRPr="004D2C0C">
              <w:rPr>
                <w:rFonts w:eastAsia="標楷體"/>
                <w:sz w:val="32"/>
              </w:rPr>
              <w:t>(69</w:t>
            </w:r>
            <w:r w:rsidRPr="004D2C0C">
              <w:rPr>
                <w:rFonts w:eastAsia="標楷體"/>
                <w:sz w:val="32"/>
              </w:rPr>
              <w:t>以下</w:t>
            </w:r>
            <w:r w:rsidRPr="004D2C0C">
              <w:rPr>
                <w:rFonts w:eastAsia="標楷體"/>
                <w:sz w:val="32"/>
              </w:rPr>
              <w:t>)</w:t>
            </w:r>
          </w:p>
        </w:tc>
      </w:tr>
      <w:tr w:rsidR="001274F6" w:rsidRPr="004D2C0C" w14:paraId="3980A46C" w14:textId="77777777" w:rsidTr="005B5539">
        <w:tc>
          <w:tcPr>
            <w:tcW w:w="3060" w:type="dxa"/>
            <w:tcBorders>
              <w:top w:val="single" w:sz="6" w:space="0" w:color="auto"/>
              <w:left w:val="single" w:sz="6" w:space="0" w:color="auto"/>
              <w:bottom w:val="single" w:sz="6" w:space="0" w:color="auto"/>
              <w:right w:val="single" w:sz="6" w:space="0" w:color="auto"/>
            </w:tcBorders>
          </w:tcPr>
          <w:p w14:paraId="0D5927BE" w14:textId="77777777" w:rsidR="001274F6" w:rsidRPr="004D2C0C" w:rsidRDefault="001274F6" w:rsidP="005B5539">
            <w:pPr>
              <w:spacing w:line="600" w:lineRule="atLeast"/>
              <w:jc w:val="both"/>
              <w:rPr>
                <w:rFonts w:eastAsia="標楷體"/>
                <w:sz w:val="32"/>
              </w:rPr>
            </w:pPr>
            <w:r w:rsidRPr="004D2C0C">
              <w:rPr>
                <w:rFonts w:eastAsia="標楷體"/>
                <w:sz w:val="32"/>
              </w:rPr>
              <w:t>代表作之價值（</w:t>
            </w:r>
            <w:r w:rsidRPr="004D2C0C">
              <w:rPr>
                <w:rFonts w:eastAsia="標楷體"/>
                <w:sz w:val="32"/>
              </w:rPr>
              <w:t>35</w:t>
            </w:r>
            <w:proofErr w:type="gramStart"/>
            <w:r w:rsidRPr="004D2C0C">
              <w:rPr>
                <w:rFonts w:eastAsia="標楷體"/>
                <w:sz w:val="32"/>
              </w:rPr>
              <w:t>﹪</w:t>
            </w:r>
            <w:proofErr w:type="gramEnd"/>
            <w:r w:rsidRPr="004D2C0C">
              <w:rPr>
                <w:rFonts w:eastAsia="標楷體"/>
                <w:sz w:val="32"/>
              </w:rPr>
              <w:t>）</w:t>
            </w:r>
          </w:p>
        </w:tc>
        <w:tc>
          <w:tcPr>
            <w:tcW w:w="1620" w:type="dxa"/>
            <w:tcBorders>
              <w:top w:val="single" w:sz="6" w:space="0" w:color="auto"/>
              <w:left w:val="single" w:sz="6" w:space="0" w:color="auto"/>
              <w:bottom w:val="single" w:sz="6" w:space="0" w:color="auto"/>
              <w:right w:val="single" w:sz="6" w:space="0" w:color="auto"/>
            </w:tcBorders>
          </w:tcPr>
          <w:p w14:paraId="30565C72" w14:textId="77777777" w:rsidR="001274F6" w:rsidRPr="004D2C0C" w:rsidRDefault="001274F6" w:rsidP="005B5539">
            <w:pPr>
              <w:spacing w:line="600" w:lineRule="atLeast"/>
              <w:jc w:val="both"/>
              <w:rPr>
                <w:rFonts w:eastAsia="標楷體"/>
                <w:sz w:val="32"/>
              </w:rPr>
            </w:pPr>
          </w:p>
        </w:tc>
        <w:tc>
          <w:tcPr>
            <w:tcW w:w="1620" w:type="dxa"/>
            <w:tcBorders>
              <w:top w:val="single" w:sz="6" w:space="0" w:color="auto"/>
              <w:left w:val="single" w:sz="6" w:space="0" w:color="auto"/>
              <w:bottom w:val="single" w:sz="6" w:space="0" w:color="auto"/>
              <w:right w:val="single" w:sz="6" w:space="0" w:color="auto"/>
            </w:tcBorders>
          </w:tcPr>
          <w:p w14:paraId="7C2552A2" w14:textId="77777777" w:rsidR="001274F6" w:rsidRPr="004D2C0C" w:rsidRDefault="001274F6" w:rsidP="005B5539">
            <w:pPr>
              <w:spacing w:line="600" w:lineRule="atLeast"/>
              <w:jc w:val="both"/>
              <w:rPr>
                <w:rFonts w:eastAsia="標楷體"/>
                <w:sz w:val="32"/>
              </w:rPr>
            </w:pPr>
          </w:p>
        </w:tc>
        <w:tc>
          <w:tcPr>
            <w:tcW w:w="1620" w:type="dxa"/>
            <w:tcBorders>
              <w:top w:val="single" w:sz="6" w:space="0" w:color="auto"/>
              <w:left w:val="single" w:sz="6" w:space="0" w:color="auto"/>
              <w:bottom w:val="single" w:sz="6" w:space="0" w:color="auto"/>
              <w:right w:val="single" w:sz="6" w:space="0" w:color="auto"/>
            </w:tcBorders>
          </w:tcPr>
          <w:p w14:paraId="3EE00D28" w14:textId="77777777" w:rsidR="001274F6" w:rsidRPr="004D2C0C" w:rsidRDefault="001274F6" w:rsidP="005B5539">
            <w:pPr>
              <w:spacing w:line="600" w:lineRule="atLeast"/>
              <w:jc w:val="both"/>
              <w:rPr>
                <w:rFonts w:eastAsia="標楷體"/>
                <w:sz w:val="32"/>
              </w:rPr>
            </w:pPr>
          </w:p>
        </w:tc>
        <w:tc>
          <w:tcPr>
            <w:tcW w:w="1620" w:type="dxa"/>
            <w:tcBorders>
              <w:top w:val="single" w:sz="6" w:space="0" w:color="auto"/>
              <w:left w:val="single" w:sz="6" w:space="0" w:color="auto"/>
              <w:bottom w:val="single" w:sz="6" w:space="0" w:color="auto"/>
              <w:right w:val="single" w:sz="6" w:space="0" w:color="auto"/>
            </w:tcBorders>
          </w:tcPr>
          <w:p w14:paraId="34659E8F" w14:textId="77777777" w:rsidR="001274F6" w:rsidRPr="004D2C0C" w:rsidRDefault="001274F6" w:rsidP="005B5539">
            <w:pPr>
              <w:spacing w:line="600" w:lineRule="atLeast"/>
              <w:jc w:val="both"/>
              <w:rPr>
                <w:rFonts w:eastAsia="標楷體"/>
                <w:sz w:val="32"/>
              </w:rPr>
            </w:pPr>
          </w:p>
        </w:tc>
      </w:tr>
      <w:tr w:rsidR="001274F6" w:rsidRPr="004D2C0C" w14:paraId="7F684DA9" w14:textId="77777777" w:rsidTr="005B5539">
        <w:tc>
          <w:tcPr>
            <w:tcW w:w="3060" w:type="dxa"/>
            <w:tcBorders>
              <w:top w:val="single" w:sz="6" w:space="0" w:color="auto"/>
              <w:left w:val="single" w:sz="6" w:space="0" w:color="auto"/>
              <w:bottom w:val="single" w:sz="6" w:space="0" w:color="auto"/>
              <w:right w:val="single" w:sz="6" w:space="0" w:color="auto"/>
            </w:tcBorders>
          </w:tcPr>
          <w:p w14:paraId="1730A039" w14:textId="77777777" w:rsidR="001274F6" w:rsidRPr="004D2C0C" w:rsidRDefault="001274F6" w:rsidP="005B5539">
            <w:pPr>
              <w:spacing w:line="600" w:lineRule="atLeast"/>
              <w:jc w:val="both"/>
              <w:rPr>
                <w:rFonts w:eastAsia="標楷體"/>
                <w:sz w:val="32"/>
              </w:rPr>
            </w:pPr>
            <w:r w:rsidRPr="004D2C0C">
              <w:rPr>
                <w:rFonts w:eastAsia="標楷體"/>
                <w:sz w:val="32"/>
              </w:rPr>
              <w:t>其他作品（</w:t>
            </w:r>
            <w:r w:rsidRPr="004D2C0C">
              <w:rPr>
                <w:rFonts w:eastAsia="標楷體"/>
                <w:sz w:val="32"/>
              </w:rPr>
              <w:t>35</w:t>
            </w:r>
            <w:proofErr w:type="gramStart"/>
            <w:r w:rsidRPr="004D2C0C">
              <w:rPr>
                <w:rFonts w:eastAsia="標楷體"/>
                <w:sz w:val="32"/>
              </w:rPr>
              <w:t>﹪</w:t>
            </w:r>
            <w:proofErr w:type="gramEnd"/>
            <w:r w:rsidRPr="004D2C0C">
              <w:rPr>
                <w:rFonts w:eastAsia="標楷體"/>
                <w:sz w:val="32"/>
              </w:rPr>
              <w:t>）</w:t>
            </w:r>
          </w:p>
        </w:tc>
        <w:tc>
          <w:tcPr>
            <w:tcW w:w="1620" w:type="dxa"/>
            <w:tcBorders>
              <w:top w:val="single" w:sz="6" w:space="0" w:color="auto"/>
              <w:left w:val="single" w:sz="6" w:space="0" w:color="auto"/>
              <w:bottom w:val="single" w:sz="6" w:space="0" w:color="auto"/>
              <w:right w:val="single" w:sz="6" w:space="0" w:color="auto"/>
            </w:tcBorders>
          </w:tcPr>
          <w:p w14:paraId="3F7F6E25" w14:textId="77777777" w:rsidR="001274F6" w:rsidRPr="004D2C0C" w:rsidRDefault="001274F6" w:rsidP="005B5539">
            <w:pPr>
              <w:spacing w:line="600" w:lineRule="atLeast"/>
              <w:jc w:val="both"/>
              <w:rPr>
                <w:rFonts w:eastAsia="標楷體"/>
                <w:sz w:val="32"/>
              </w:rPr>
            </w:pPr>
          </w:p>
        </w:tc>
        <w:tc>
          <w:tcPr>
            <w:tcW w:w="1620" w:type="dxa"/>
            <w:tcBorders>
              <w:top w:val="single" w:sz="6" w:space="0" w:color="auto"/>
              <w:left w:val="single" w:sz="6" w:space="0" w:color="auto"/>
              <w:bottom w:val="single" w:sz="6" w:space="0" w:color="auto"/>
              <w:right w:val="single" w:sz="6" w:space="0" w:color="auto"/>
            </w:tcBorders>
          </w:tcPr>
          <w:p w14:paraId="16B14734" w14:textId="77777777" w:rsidR="001274F6" w:rsidRPr="004D2C0C" w:rsidRDefault="001274F6" w:rsidP="005B5539">
            <w:pPr>
              <w:spacing w:line="600" w:lineRule="atLeast"/>
              <w:jc w:val="both"/>
              <w:rPr>
                <w:rFonts w:eastAsia="標楷體"/>
                <w:sz w:val="32"/>
              </w:rPr>
            </w:pPr>
          </w:p>
        </w:tc>
        <w:tc>
          <w:tcPr>
            <w:tcW w:w="1620" w:type="dxa"/>
            <w:tcBorders>
              <w:top w:val="single" w:sz="6" w:space="0" w:color="auto"/>
              <w:left w:val="single" w:sz="6" w:space="0" w:color="auto"/>
              <w:bottom w:val="single" w:sz="6" w:space="0" w:color="auto"/>
              <w:right w:val="single" w:sz="6" w:space="0" w:color="auto"/>
            </w:tcBorders>
          </w:tcPr>
          <w:p w14:paraId="2A054D7D" w14:textId="77777777" w:rsidR="001274F6" w:rsidRPr="004D2C0C" w:rsidRDefault="001274F6" w:rsidP="005B5539">
            <w:pPr>
              <w:spacing w:line="600" w:lineRule="atLeast"/>
              <w:jc w:val="both"/>
              <w:rPr>
                <w:rFonts w:eastAsia="標楷體"/>
                <w:sz w:val="32"/>
              </w:rPr>
            </w:pPr>
          </w:p>
        </w:tc>
        <w:tc>
          <w:tcPr>
            <w:tcW w:w="1620" w:type="dxa"/>
            <w:tcBorders>
              <w:top w:val="single" w:sz="6" w:space="0" w:color="auto"/>
              <w:left w:val="single" w:sz="6" w:space="0" w:color="auto"/>
              <w:bottom w:val="single" w:sz="6" w:space="0" w:color="auto"/>
              <w:right w:val="single" w:sz="6" w:space="0" w:color="auto"/>
            </w:tcBorders>
          </w:tcPr>
          <w:p w14:paraId="287A85B6" w14:textId="77777777" w:rsidR="001274F6" w:rsidRPr="004D2C0C" w:rsidRDefault="001274F6" w:rsidP="005B5539">
            <w:pPr>
              <w:spacing w:line="600" w:lineRule="atLeast"/>
              <w:jc w:val="both"/>
              <w:rPr>
                <w:rFonts w:eastAsia="標楷體"/>
                <w:sz w:val="32"/>
              </w:rPr>
            </w:pPr>
          </w:p>
        </w:tc>
      </w:tr>
      <w:tr w:rsidR="001274F6" w:rsidRPr="004D2C0C" w14:paraId="778C4EBC" w14:textId="77777777" w:rsidTr="005B5539">
        <w:tc>
          <w:tcPr>
            <w:tcW w:w="3060" w:type="dxa"/>
            <w:tcBorders>
              <w:top w:val="single" w:sz="6" w:space="0" w:color="auto"/>
              <w:left w:val="single" w:sz="6" w:space="0" w:color="auto"/>
              <w:bottom w:val="single" w:sz="6" w:space="0" w:color="auto"/>
              <w:right w:val="single" w:sz="6" w:space="0" w:color="auto"/>
            </w:tcBorders>
          </w:tcPr>
          <w:p w14:paraId="5F785596" w14:textId="77777777" w:rsidR="001274F6" w:rsidRPr="004D2C0C" w:rsidRDefault="001274F6" w:rsidP="005B5539">
            <w:pPr>
              <w:spacing w:line="600" w:lineRule="atLeast"/>
              <w:jc w:val="both"/>
              <w:rPr>
                <w:rFonts w:eastAsia="標楷體"/>
                <w:sz w:val="32"/>
              </w:rPr>
            </w:pPr>
            <w:r w:rsidRPr="004D2C0C">
              <w:rPr>
                <w:rFonts w:eastAsia="標楷體"/>
                <w:sz w:val="32"/>
              </w:rPr>
              <w:t>教學（</w:t>
            </w:r>
            <w:r w:rsidRPr="004D2C0C">
              <w:rPr>
                <w:rFonts w:eastAsia="標楷體"/>
                <w:sz w:val="32"/>
              </w:rPr>
              <w:t>20</w:t>
            </w:r>
            <w:proofErr w:type="gramStart"/>
            <w:r w:rsidRPr="004D2C0C">
              <w:rPr>
                <w:rFonts w:eastAsia="標楷體"/>
                <w:sz w:val="32"/>
              </w:rPr>
              <w:t>﹪</w:t>
            </w:r>
            <w:proofErr w:type="gramEnd"/>
            <w:r w:rsidRPr="004D2C0C">
              <w:rPr>
                <w:rFonts w:eastAsia="標楷體"/>
                <w:sz w:val="32"/>
              </w:rPr>
              <w:t>）</w:t>
            </w:r>
          </w:p>
        </w:tc>
        <w:tc>
          <w:tcPr>
            <w:tcW w:w="1620" w:type="dxa"/>
            <w:tcBorders>
              <w:top w:val="single" w:sz="6" w:space="0" w:color="auto"/>
              <w:left w:val="single" w:sz="6" w:space="0" w:color="auto"/>
              <w:bottom w:val="single" w:sz="6" w:space="0" w:color="auto"/>
              <w:right w:val="single" w:sz="6" w:space="0" w:color="auto"/>
            </w:tcBorders>
          </w:tcPr>
          <w:p w14:paraId="26784BD0" w14:textId="77777777" w:rsidR="001274F6" w:rsidRPr="004D2C0C" w:rsidRDefault="001274F6" w:rsidP="005B5539">
            <w:pPr>
              <w:spacing w:line="600" w:lineRule="atLeast"/>
              <w:jc w:val="both"/>
              <w:rPr>
                <w:rFonts w:eastAsia="標楷體"/>
                <w:sz w:val="32"/>
              </w:rPr>
            </w:pPr>
          </w:p>
        </w:tc>
        <w:tc>
          <w:tcPr>
            <w:tcW w:w="1620" w:type="dxa"/>
            <w:tcBorders>
              <w:top w:val="single" w:sz="6" w:space="0" w:color="auto"/>
              <w:left w:val="single" w:sz="6" w:space="0" w:color="auto"/>
              <w:bottom w:val="single" w:sz="6" w:space="0" w:color="auto"/>
              <w:right w:val="single" w:sz="6" w:space="0" w:color="auto"/>
            </w:tcBorders>
          </w:tcPr>
          <w:p w14:paraId="700128C0" w14:textId="77777777" w:rsidR="001274F6" w:rsidRPr="004D2C0C" w:rsidRDefault="001274F6" w:rsidP="005B5539">
            <w:pPr>
              <w:spacing w:line="600" w:lineRule="atLeast"/>
              <w:jc w:val="both"/>
              <w:rPr>
                <w:rFonts w:eastAsia="標楷體"/>
                <w:sz w:val="32"/>
              </w:rPr>
            </w:pPr>
          </w:p>
        </w:tc>
        <w:tc>
          <w:tcPr>
            <w:tcW w:w="1620" w:type="dxa"/>
            <w:tcBorders>
              <w:top w:val="single" w:sz="6" w:space="0" w:color="auto"/>
              <w:left w:val="single" w:sz="6" w:space="0" w:color="auto"/>
              <w:bottom w:val="single" w:sz="6" w:space="0" w:color="auto"/>
              <w:right w:val="single" w:sz="6" w:space="0" w:color="auto"/>
            </w:tcBorders>
          </w:tcPr>
          <w:p w14:paraId="778544CF" w14:textId="77777777" w:rsidR="001274F6" w:rsidRPr="004D2C0C" w:rsidRDefault="001274F6" w:rsidP="005B5539">
            <w:pPr>
              <w:spacing w:line="600" w:lineRule="atLeast"/>
              <w:jc w:val="both"/>
              <w:rPr>
                <w:rFonts w:eastAsia="標楷體"/>
                <w:sz w:val="32"/>
              </w:rPr>
            </w:pPr>
          </w:p>
        </w:tc>
        <w:tc>
          <w:tcPr>
            <w:tcW w:w="1620" w:type="dxa"/>
            <w:tcBorders>
              <w:top w:val="single" w:sz="6" w:space="0" w:color="auto"/>
              <w:left w:val="single" w:sz="6" w:space="0" w:color="auto"/>
              <w:bottom w:val="single" w:sz="6" w:space="0" w:color="auto"/>
              <w:right w:val="single" w:sz="6" w:space="0" w:color="auto"/>
            </w:tcBorders>
          </w:tcPr>
          <w:p w14:paraId="4EADAB2A" w14:textId="77777777" w:rsidR="001274F6" w:rsidRPr="004D2C0C" w:rsidRDefault="001274F6" w:rsidP="005B5539">
            <w:pPr>
              <w:spacing w:line="600" w:lineRule="atLeast"/>
              <w:jc w:val="both"/>
              <w:rPr>
                <w:rFonts w:eastAsia="標楷體"/>
                <w:sz w:val="32"/>
              </w:rPr>
            </w:pPr>
          </w:p>
        </w:tc>
      </w:tr>
      <w:tr w:rsidR="001274F6" w:rsidRPr="004D2C0C" w14:paraId="6259949E" w14:textId="77777777" w:rsidTr="005B5539">
        <w:tc>
          <w:tcPr>
            <w:tcW w:w="3060" w:type="dxa"/>
            <w:tcBorders>
              <w:top w:val="single" w:sz="6" w:space="0" w:color="auto"/>
              <w:left w:val="single" w:sz="6" w:space="0" w:color="auto"/>
              <w:bottom w:val="single" w:sz="6" w:space="0" w:color="auto"/>
              <w:right w:val="single" w:sz="6" w:space="0" w:color="auto"/>
            </w:tcBorders>
          </w:tcPr>
          <w:p w14:paraId="5CB57263" w14:textId="77777777" w:rsidR="001274F6" w:rsidRPr="004D2C0C" w:rsidRDefault="001274F6" w:rsidP="005B5539">
            <w:pPr>
              <w:spacing w:line="600" w:lineRule="atLeast"/>
              <w:jc w:val="both"/>
              <w:rPr>
                <w:rFonts w:eastAsia="標楷體"/>
                <w:sz w:val="32"/>
              </w:rPr>
            </w:pPr>
            <w:r w:rsidRPr="004D2C0C">
              <w:rPr>
                <w:rFonts w:eastAsia="標楷體"/>
                <w:sz w:val="32"/>
              </w:rPr>
              <w:t>服務與年資（</w:t>
            </w:r>
            <w:r w:rsidRPr="004D2C0C">
              <w:rPr>
                <w:rFonts w:eastAsia="標楷體"/>
                <w:sz w:val="32"/>
              </w:rPr>
              <w:t>5</w:t>
            </w:r>
            <w:proofErr w:type="gramStart"/>
            <w:r w:rsidRPr="004D2C0C">
              <w:rPr>
                <w:rFonts w:eastAsia="標楷體"/>
                <w:sz w:val="32"/>
              </w:rPr>
              <w:t>﹪</w:t>
            </w:r>
            <w:proofErr w:type="gramEnd"/>
            <w:r w:rsidRPr="004D2C0C">
              <w:rPr>
                <w:rFonts w:eastAsia="標楷體"/>
                <w:sz w:val="32"/>
              </w:rPr>
              <w:t>）</w:t>
            </w:r>
          </w:p>
        </w:tc>
        <w:tc>
          <w:tcPr>
            <w:tcW w:w="1620" w:type="dxa"/>
            <w:tcBorders>
              <w:top w:val="single" w:sz="6" w:space="0" w:color="auto"/>
              <w:left w:val="single" w:sz="6" w:space="0" w:color="auto"/>
              <w:bottom w:val="single" w:sz="6" w:space="0" w:color="auto"/>
              <w:right w:val="single" w:sz="6" w:space="0" w:color="auto"/>
            </w:tcBorders>
          </w:tcPr>
          <w:p w14:paraId="37F235FA" w14:textId="77777777" w:rsidR="001274F6" w:rsidRPr="004D2C0C" w:rsidRDefault="001274F6" w:rsidP="005B5539">
            <w:pPr>
              <w:spacing w:line="600" w:lineRule="atLeast"/>
              <w:jc w:val="both"/>
              <w:rPr>
                <w:rFonts w:eastAsia="標楷體"/>
                <w:sz w:val="32"/>
              </w:rPr>
            </w:pPr>
          </w:p>
        </w:tc>
        <w:tc>
          <w:tcPr>
            <w:tcW w:w="1620" w:type="dxa"/>
            <w:tcBorders>
              <w:top w:val="single" w:sz="6" w:space="0" w:color="auto"/>
              <w:left w:val="single" w:sz="6" w:space="0" w:color="auto"/>
              <w:bottom w:val="single" w:sz="6" w:space="0" w:color="auto"/>
              <w:right w:val="single" w:sz="6" w:space="0" w:color="auto"/>
            </w:tcBorders>
          </w:tcPr>
          <w:p w14:paraId="620D94E1" w14:textId="77777777" w:rsidR="001274F6" w:rsidRPr="004D2C0C" w:rsidRDefault="001274F6" w:rsidP="005B5539">
            <w:pPr>
              <w:spacing w:line="600" w:lineRule="atLeast"/>
              <w:jc w:val="both"/>
              <w:rPr>
                <w:rFonts w:eastAsia="標楷體"/>
                <w:sz w:val="32"/>
              </w:rPr>
            </w:pPr>
          </w:p>
        </w:tc>
        <w:tc>
          <w:tcPr>
            <w:tcW w:w="1620" w:type="dxa"/>
            <w:tcBorders>
              <w:top w:val="single" w:sz="6" w:space="0" w:color="auto"/>
              <w:left w:val="single" w:sz="6" w:space="0" w:color="auto"/>
              <w:bottom w:val="single" w:sz="6" w:space="0" w:color="auto"/>
              <w:right w:val="single" w:sz="6" w:space="0" w:color="auto"/>
            </w:tcBorders>
          </w:tcPr>
          <w:p w14:paraId="3E156C81" w14:textId="77777777" w:rsidR="001274F6" w:rsidRPr="004D2C0C" w:rsidRDefault="001274F6" w:rsidP="005B5539">
            <w:pPr>
              <w:spacing w:line="600" w:lineRule="atLeast"/>
              <w:jc w:val="both"/>
              <w:rPr>
                <w:rFonts w:eastAsia="標楷體"/>
                <w:sz w:val="32"/>
              </w:rPr>
            </w:pPr>
          </w:p>
        </w:tc>
        <w:tc>
          <w:tcPr>
            <w:tcW w:w="1620" w:type="dxa"/>
            <w:tcBorders>
              <w:top w:val="single" w:sz="6" w:space="0" w:color="auto"/>
              <w:left w:val="single" w:sz="6" w:space="0" w:color="auto"/>
              <w:bottom w:val="single" w:sz="6" w:space="0" w:color="auto"/>
              <w:right w:val="single" w:sz="6" w:space="0" w:color="auto"/>
            </w:tcBorders>
          </w:tcPr>
          <w:p w14:paraId="56F078DD" w14:textId="77777777" w:rsidR="001274F6" w:rsidRPr="004D2C0C" w:rsidRDefault="001274F6" w:rsidP="005B5539">
            <w:pPr>
              <w:spacing w:line="600" w:lineRule="atLeast"/>
              <w:jc w:val="both"/>
              <w:rPr>
                <w:rFonts w:eastAsia="標楷體"/>
                <w:sz w:val="32"/>
              </w:rPr>
            </w:pPr>
          </w:p>
        </w:tc>
      </w:tr>
      <w:tr w:rsidR="001274F6" w:rsidRPr="004D2C0C" w14:paraId="452924A3" w14:textId="77777777" w:rsidTr="005B5539">
        <w:tc>
          <w:tcPr>
            <w:tcW w:w="3060" w:type="dxa"/>
            <w:tcBorders>
              <w:top w:val="single" w:sz="6" w:space="0" w:color="auto"/>
              <w:left w:val="single" w:sz="6" w:space="0" w:color="auto"/>
              <w:bottom w:val="single" w:sz="6" w:space="0" w:color="auto"/>
              <w:right w:val="single" w:sz="6" w:space="0" w:color="auto"/>
            </w:tcBorders>
          </w:tcPr>
          <w:p w14:paraId="21A7658A" w14:textId="77777777" w:rsidR="001274F6" w:rsidRPr="004D2C0C" w:rsidRDefault="001274F6" w:rsidP="005B5539">
            <w:pPr>
              <w:spacing w:line="600" w:lineRule="atLeast"/>
              <w:jc w:val="both"/>
              <w:rPr>
                <w:rFonts w:eastAsia="標楷體"/>
                <w:sz w:val="32"/>
              </w:rPr>
            </w:pPr>
            <w:r w:rsidRPr="004D2C0C">
              <w:rPr>
                <w:rFonts w:eastAsia="標楷體"/>
                <w:sz w:val="32"/>
              </w:rPr>
              <w:t>輔導（</w:t>
            </w:r>
            <w:r w:rsidRPr="004D2C0C">
              <w:rPr>
                <w:rFonts w:eastAsia="標楷體"/>
                <w:sz w:val="32"/>
              </w:rPr>
              <w:t>5</w:t>
            </w:r>
            <w:r w:rsidRPr="004D2C0C">
              <w:rPr>
                <w:rFonts w:eastAsia="標楷體"/>
                <w:sz w:val="32"/>
              </w:rPr>
              <w:t>％）</w:t>
            </w:r>
          </w:p>
        </w:tc>
        <w:tc>
          <w:tcPr>
            <w:tcW w:w="1620" w:type="dxa"/>
            <w:tcBorders>
              <w:top w:val="single" w:sz="6" w:space="0" w:color="auto"/>
              <w:left w:val="single" w:sz="6" w:space="0" w:color="auto"/>
              <w:bottom w:val="single" w:sz="6" w:space="0" w:color="auto"/>
              <w:right w:val="single" w:sz="6" w:space="0" w:color="auto"/>
            </w:tcBorders>
          </w:tcPr>
          <w:p w14:paraId="2DEF2771" w14:textId="77777777" w:rsidR="001274F6" w:rsidRPr="004D2C0C" w:rsidRDefault="001274F6" w:rsidP="005B5539">
            <w:pPr>
              <w:spacing w:line="600" w:lineRule="atLeast"/>
              <w:jc w:val="both"/>
              <w:rPr>
                <w:rFonts w:eastAsia="標楷體"/>
                <w:sz w:val="32"/>
              </w:rPr>
            </w:pPr>
          </w:p>
        </w:tc>
        <w:tc>
          <w:tcPr>
            <w:tcW w:w="1620" w:type="dxa"/>
            <w:tcBorders>
              <w:top w:val="single" w:sz="6" w:space="0" w:color="auto"/>
              <w:left w:val="single" w:sz="6" w:space="0" w:color="auto"/>
              <w:bottom w:val="single" w:sz="6" w:space="0" w:color="auto"/>
              <w:right w:val="single" w:sz="6" w:space="0" w:color="auto"/>
            </w:tcBorders>
          </w:tcPr>
          <w:p w14:paraId="4AC8D864" w14:textId="77777777" w:rsidR="001274F6" w:rsidRPr="004D2C0C" w:rsidRDefault="001274F6" w:rsidP="005B5539">
            <w:pPr>
              <w:spacing w:line="600" w:lineRule="atLeast"/>
              <w:jc w:val="both"/>
              <w:rPr>
                <w:rFonts w:eastAsia="標楷體"/>
                <w:sz w:val="32"/>
              </w:rPr>
            </w:pPr>
          </w:p>
        </w:tc>
        <w:tc>
          <w:tcPr>
            <w:tcW w:w="1620" w:type="dxa"/>
            <w:tcBorders>
              <w:top w:val="single" w:sz="6" w:space="0" w:color="auto"/>
              <w:left w:val="single" w:sz="6" w:space="0" w:color="auto"/>
              <w:bottom w:val="single" w:sz="6" w:space="0" w:color="auto"/>
              <w:right w:val="single" w:sz="6" w:space="0" w:color="auto"/>
            </w:tcBorders>
          </w:tcPr>
          <w:p w14:paraId="162252F7" w14:textId="77777777" w:rsidR="001274F6" w:rsidRPr="004D2C0C" w:rsidRDefault="001274F6" w:rsidP="005B5539">
            <w:pPr>
              <w:spacing w:line="600" w:lineRule="atLeast"/>
              <w:jc w:val="both"/>
              <w:rPr>
                <w:rFonts w:eastAsia="標楷體"/>
                <w:sz w:val="32"/>
              </w:rPr>
            </w:pPr>
          </w:p>
        </w:tc>
        <w:tc>
          <w:tcPr>
            <w:tcW w:w="1620" w:type="dxa"/>
            <w:tcBorders>
              <w:top w:val="single" w:sz="6" w:space="0" w:color="auto"/>
              <w:left w:val="single" w:sz="6" w:space="0" w:color="auto"/>
              <w:bottom w:val="single" w:sz="6" w:space="0" w:color="auto"/>
              <w:right w:val="single" w:sz="6" w:space="0" w:color="auto"/>
            </w:tcBorders>
          </w:tcPr>
          <w:p w14:paraId="3DD59104" w14:textId="77777777" w:rsidR="001274F6" w:rsidRPr="004D2C0C" w:rsidRDefault="001274F6" w:rsidP="005B5539">
            <w:pPr>
              <w:spacing w:line="600" w:lineRule="atLeast"/>
              <w:jc w:val="both"/>
              <w:rPr>
                <w:rFonts w:eastAsia="標楷體"/>
                <w:sz w:val="32"/>
              </w:rPr>
            </w:pPr>
          </w:p>
        </w:tc>
      </w:tr>
    </w:tbl>
    <w:p w14:paraId="566F676A" w14:textId="77777777" w:rsidR="001274F6" w:rsidRPr="004D2C0C" w:rsidRDefault="001274F6" w:rsidP="001274F6">
      <w:pPr>
        <w:spacing w:line="500" w:lineRule="atLeast"/>
        <w:jc w:val="both"/>
        <w:rPr>
          <w:rFonts w:eastAsia="標楷體"/>
          <w:sz w:val="32"/>
        </w:rPr>
      </w:pPr>
    </w:p>
    <w:p w14:paraId="0ADF446C" w14:textId="77777777" w:rsidR="001274F6" w:rsidRPr="004D2C0C" w:rsidRDefault="001274F6" w:rsidP="001274F6">
      <w:pPr>
        <w:tabs>
          <w:tab w:val="left" w:pos="900"/>
        </w:tabs>
        <w:spacing w:line="500" w:lineRule="atLeast"/>
        <w:ind w:left="900" w:hanging="900"/>
        <w:jc w:val="both"/>
        <w:rPr>
          <w:rFonts w:eastAsia="標楷體"/>
          <w:sz w:val="32"/>
        </w:rPr>
      </w:pPr>
      <w:proofErr w:type="gramStart"/>
      <w:r w:rsidRPr="004D2C0C">
        <w:rPr>
          <w:rFonts w:eastAsia="標楷體"/>
          <w:sz w:val="32"/>
        </w:rPr>
        <w:t>註</w:t>
      </w:r>
      <w:proofErr w:type="gramEnd"/>
      <w:r w:rsidRPr="004D2C0C">
        <w:rPr>
          <w:rFonts w:eastAsia="標楷體"/>
          <w:sz w:val="32"/>
        </w:rPr>
        <w:t>：</w:t>
      </w:r>
    </w:p>
    <w:p w14:paraId="3250A0D4" w14:textId="77777777" w:rsidR="001274F6" w:rsidRPr="004D2C0C" w:rsidRDefault="001274F6" w:rsidP="001274F6">
      <w:pPr>
        <w:numPr>
          <w:ilvl w:val="0"/>
          <w:numId w:val="9"/>
        </w:numPr>
        <w:spacing w:line="500" w:lineRule="atLeast"/>
        <w:jc w:val="both"/>
        <w:rPr>
          <w:rFonts w:eastAsia="標楷體"/>
          <w:sz w:val="32"/>
        </w:rPr>
      </w:pPr>
      <w:r w:rsidRPr="004D2C0C">
        <w:rPr>
          <w:rFonts w:eastAsia="標楷體"/>
          <w:sz w:val="32"/>
        </w:rPr>
        <w:t>各項評分以</w:t>
      </w:r>
      <w:r w:rsidRPr="004D2C0C">
        <w:rPr>
          <w:rFonts w:eastAsia="標楷體"/>
          <w:sz w:val="32"/>
        </w:rPr>
        <w:t>100</w:t>
      </w:r>
      <w:r w:rsidRPr="004D2C0C">
        <w:rPr>
          <w:rFonts w:eastAsia="標楷體"/>
          <w:sz w:val="32"/>
        </w:rPr>
        <w:t>計算並分成四級，分為特優、優良、普通、欠佳，各以</w:t>
      </w:r>
      <w:r w:rsidRPr="004D2C0C">
        <w:rPr>
          <w:rFonts w:eastAsia="標楷體"/>
          <w:sz w:val="32"/>
        </w:rPr>
        <w:t>90-100</w:t>
      </w:r>
      <w:r w:rsidRPr="004D2C0C">
        <w:rPr>
          <w:rFonts w:eastAsia="標楷體"/>
          <w:sz w:val="32"/>
        </w:rPr>
        <w:t>、</w:t>
      </w:r>
      <w:r w:rsidRPr="004D2C0C">
        <w:rPr>
          <w:rFonts w:eastAsia="標楷體"/>
          <w:sz w:val="32"/>
        </w:rPr>
        <w:t>80-89</w:t>
      </w:r>
      <w:r w:rsidRPr="004D2C0C">
        <w:rPr>
          <w:rFonts w:eastAsia="標楷體"/>
          <w:sz w:val="32"/>
        </w:rPr>
        <w:t>、</w:t>
      </w:r>
      <w:r w:rsidRPr="004D2C0C">
        <w:rPr>
          <w:rFonts w:eastAsia="標楷體"/>
          <w:sz w:val="32"/>
        </w:rPr>
        <w:t>70-79</w:t>
      </w:r>
      <w:r w:rsidRPr="004D2C0C">
        <w:rPr>
          <w:rFonts w:eastAsia="標楷體"/>
          <w:sz w:val="32"/>
        </w:rPr>
        <w:t>、</w:t>
      </w:r>
      <w:r w:rsidRPr="004D2C0C">
        <w:rPr>
          <w:rFonts w:eastAsia="標楷體"/>
          <w:sz w:val="32"/>
        </w:rPr>
        <w:t>69</w:t>
      </w:r>
      <w:r w:rsidRPr="004D2C0C">
        <w:rPr>
          <w:rFonts w:eastAsia="標楷體"/>
          <w:sz w:val="32"/>
        </w:rPr>
        <w:t>以下代表。</w:t>
      </w:r>
    </w:p>
    <w:p w14:paraId="5A36A454" w14:textId="77777777" w:rsidR="001274F6" w:rsidRPr="004D2C0C" w:rsidRDefault="001274F6" w:rsidP="001274F6">
      <w:pPr>
        <w:numPr>
          <w:ilvl w:val="0"/>
          <w:numId w:val="9"/>
        </w:numPr>
        <w:spacing w:line="500" w:lineRule="atLeast"/>
        <w:jc w:val="both"/>
        <w:rPr>
          <w:rFonts w:eastAsia="標楷體"/>
          <w:sz w:val="32"/>
        </w:rPr>
      </w:pPr>
      <w:r w:rsidRPr="004D2C0C">
        <w:rPr>
          <w:rFonts w:eastAsia="標楷體"/>
          <w:sz w:val="32"/>
        </w:rPr>
        <w:t>各審查委員之審查結果平均數作為系審查之結果。</w:t>
      </w:r>
    </w:p>
    <w:p w14:paraId="7D4B1702" w14:textId="77777777" w:rsidR="001274F6" w:rsidRPr="004D2C0C" w:rsidRDefault="001274F6" w:rsidP="001274F6">
      <w:pPr>
        <w:numPr>
          <w:ilvl w:val="0"/>
          <w:numId w:val="9"/>
        </w:numPr>
        <w:spacing w:line="500" w:lineRule="atLeast"/>
        <w:jc w:val="both"/>
        <w:rPr>
          <w:rFonts w:eastAsia="標楷體"/>
          <w:sz w:val="32"/>
        </w:rPr>
      </w:pPr>
      <w:r w:rsidRPr="004D2C0C">
        <w:rPr>
          <w:rFonts w:eastAsia="標楷體"/>
          <w:sz w:val="32"/>
        </w:rPr>
        <w:t>各項平均點</w:t>
      </w:r>
      <w:r w:rsidRPr="004D2C0C">
        <w:rPr>
          <w:rFonts w:eastAsia="標楷體"/>
          <w:sz w:val="32"/>
        </w:rPr>
        <w:t>80</w:t>
      </w:r>
      <w:r w:rsidRPr="004D2C0C">
        <w:rPr>
          <w:rFonts w:eastAsia="標楷體"/>
          <w:sz w:val="32"/>
        </w:rPr>
        <w:t>分以上（含）</w:t>
      </w:r>
      <w:proofErr w:type="gramStart"/>
      <w:r w:rsidRPr="004D2C0C">
        <w:rPr>
          <w:rFonts w:eastAsia="標楷體"/>
          <w:sz w:val="32"/>
        </w:rPr>
        <w:t>為系推薦</w:t>
      </w:r>
      <w:proofErr w:type="gramEnd"/>
      <w:r w:rsidRPr="004D2C0C">
        <w:rPr>
          <w:rFonts w:eastAsia="標楷體"/>
          <w:sz w:val="32"/>
        </w:rPr>
        <w:t>之標準點。</w:t>
      </w:r>
    </w:p>
    <w:p w14:paraId="44BEA887" w14:textId="77777777" w:rsidR="001274F6" w:rsidRPr="004D2C0C" w:rsidRDefault="001274F6" w:rsidP="001274F6">
      <w:pPr>
        <w:numPr>
          <w:ilvl w:val="0"/>
          <w:numId w:val="9"/>
        </w:numPr>
        <w:spacing w:line="500" w:lineRule="atLeast"/>
        <w:jc w:val="both"/>
        <w:rPr>
          <w:rFonts w:eastAsia="標楷體"/>
          <w:sz w:val="32"/>
        </w:rPr>
      </w:pPr>
      <w:r w:rsidRPr="004D2C0C">
        <w:rPr>
          <w:rFonts w:eastAsia="標楷體"/>
          <w:sz w:val="32"/>
        </w:rPr>
        <w:t>本審查資料對外保密，也請委員代為保密。</w:t>
      </w:r>
    </w:p>
    <w:p w14:paraId="6154262C" w14:textId="77777777" w:rsidR="001274F6" w:rsidRPr="004D2C0C" w:rsidRDefault="001274F6" w:rsidP="001274F6">
      <w:pPr>
        <w:spacing w:line="500" w:lineRule="atLeast"/>
        <w:jc w:val="both"/>
        <w:rPr>
          <w:rFonts w:eastAsia="標楷體"/>
          <w:sz w:val="36"/>
        </w:rPr>
      </w:pPr>
      <w:r w:rsidRPr="004D2C0C">
        <w:rPr>
          <w:rFonts w:eastAsia="標楷體"/>
          <w:sz w:val="32"/>
        </w:rPr>
        <w:br w:type="page"/>
      </w:r>
    </w:p>
    <w:p w14:paraId="74494BBC" w14:textId="77777777" w:rsidR="001274F6" w:rsidRPr="004D2C0C" w:rsidRDefault="001274F6" w:rsidP="001274F6">
      <w:pPr>
        <w:spacing w:line="500" w:lineRule="atLeast"/>
        <w:jc w:val="center"/>
        <w:rPr>
          <w:rFonts w:eastAsia="標楷體"/>
          <w:b/>
          <w:sz w:val="40"/>
          <w:szCs w:val="40"/>
        </w:rPr>
      </w:pPr>
    </w:p>
    <w:p w14:paraId="3AEB5EC3" w14:textId="77777777" w:rsidR="001274F6" w:rsidRPr="004D2C0C" w:rsidRDefault="001274F6" w:rsidP="001274F6">
      <w:pPr>
        <w:spacing w:line="500" w:lineRule="atLeast"/>
        <w:jc w:val="center"/>
        <w:rPr>
          <w:rFonts w:eastAsia="標楷體"/>
          <w:b/>
          <w:sz w:val="40"/>
          <w:szCs w:val="40"/>
        </w:rPr>
      </w:pPr>
      <w:r w:rsidRPr="004D2C0C">
        <w:rPr>
          <w:rFonts w:eastAsia="標楷體"/>
          <w:b/>
          <w:sz w:val="40"/>
          <w:szCs w:val="40"/>
        </w:rPr>
        <w:t>輔仁大學民生學院食品</w:t>
      </w:r>
      <w:proofErr w:type="gramStart"/>
      <w:r w:rsidRPr="004D2C0C">
        <w:rPr>
          <w:rFonts w:eastAsia="標楷體"/>
          <w:b/>
          <w:sz w:val="40"/>
          <w:szCs w:val="40"/>
        </w:rPr>
        <w:t>科學系升等</w:t>
      </w:r>
      <w:proofErr w:type="gramEnd"/>
      <w:r w:rsidRPr="004D2C0C">
        <w:rPr>
          <w:rFonts w:eastAsia="標楷體"/>
          <w:b/>
          <w:sz w:val="40"/>
          <w:szCs w:val="40"/>
        </w:rPr>
        <w:t>副教授審查表</w:t>
      </w:r>
    </w:p>
    <w:p w14:paraId="729F353B" w14:textId="77777777" w:rsidR="001274F6" w:rsidRPr="004D2C0C" w:rsidRDefault="001274F6" w:rsidP="001274F6">
      <w:pPr>
        <w:spacing w:line="500" w:lineRule="atLeast"/>
        <w:jc w:val="center"/>
        <w:rPr>
          <w:rFonts w:eastAsia="標楷體"/>
          <w:sz w:val="32"/>
        </w:rPr>
      </w:pPr>
    </w:p>
    <w:p w14:paraId="60CA02D5" w14:textId="77777777" w:rsidR="001274F6" w:rsidRPr="004D2C0C" w:rsidRDefault="001274F6" w:rsidP="001274F6">
      <w:pPr>
        <w:spacing w:line="500" w:lineRule="atLeast"/>
        <w:jc w:val="center"/>
        <w:rPr>
          <w:rFonts w:eastAsia="標楷體"/>
          <w:sz w:val="32"/>
        </w:rPr>
      </w:pPr>
    </w:p>
    <w:p w14:paraId="40DB7C85" w14:textId="77777777" w:rsidR="001274F6" w:rsidRPr="004D2C0C" w:rsidRDefault="001274F6" w:rsidP="001274F6">
      <w:pPr>
        <w:spacing w:line="500" w:lineRule="atLeast"/>
        <w:jc w:val="center"/>
        <w:rPr>
          <w:rFonts w:eastAsia="標楷體"/>
          <w:sz w:val="32"/>
        </w:rPr>
      </w:pPr>
    </w:p>
    <w:p w14:paraId="3F44DDAC" w14:textId="77777777" w:rsidR="001274F6" w:rsidRPr="004D2C0C" w:rsidRDefault="001274F6" w:rsidP="001274F6">
      <w:pPr>
        <w:spacing w:line="500" w:lineRule="atLeast"/>
        <w:jc w:val="center"/>
        <w:rPr>
          <w:rFonts w:eastAsia="標楷體"/>
          <w:sz w:val="32"/>
        </w:rPr>
      </w:pPr>
    </w:p>
    <w:p w14:paraId="4FF8E3C7" w14:textId="77777777" w:rsidR="001274F6" w:rsidRPr="004D2C0C" w:rsidRDefault="001274F6" w:rsidP="001274F6">
      <w:pPr>
        <w:spacing w:line="500" w:lineRule="atLeast"/>
        <w:jc w:val="both"/>
        <w:rPr>
          <w:rFonts w:eastAsia="標楷體"/>
          <w:sz w:val="32"/>
        </w:rPr>
      </w:pPr>
      <w:r w:rsidRPr="004D2C0C">
        <w:rPr>
          <w:rFonts w:eastAsia="標楷體"/>
          <w:sz w:val="32"/>
        </w:rPr>
        <w:t>升等申請人</w:t>
      </w:r>
      <w:r w:rsidR="001135F0" w:rsidRPr="004D2C0C">
        <w:rPr>
          <w:rFonts w:eastAsia="標楷體" w:hint="eastAsia"/>
          <w:sz w:val="32"/>
        </w:rPr>
        <w:t>：</w:t>
      </w:r>
      <w:r w:rsidR="001135F0" w:rsidRPr="004D2C0C">
        <w:rPr>
          <w:rFonts w:eastAsia="標楷體" w:hint="eastAsia"/>
          <w:sz w:val="32"/>
        </w:rPr>
        <w:t xml:space="preserve">   </w:t>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年資</w:t>
      </w:r>
      <w:r w:rsidR="001135F0" w:rsidRPr="004D2C0C">
        <w:rPr>
          <w:rFonts w:eastAsia="標楷體" w:hint="eastAsia"/>
          <w:sz w:val="32"/>
        </w:rPr>
        <w:t>：</w:t>
      </w:r>
    </w:p>
    <w:p w14:paraId="1A473066" w14:textId="77777777" w:rsidR="001274F6" w:rsidRPr="004D2C0C" w:rsidRDefault="001274F6" w:rsidP="001274F6">
      <w:pPr>
        <w:spacing w:line="500" w:lineRule="atLeast"/>
        <w:jc w:val="both"/>
        <w:rPr>
          <w:rFonts w:eastAsia="標楷體"/>
          <w:sz w:val="32"/>
        </w:rPr>
      </w:pPr>
    </w:p>
    <w:p w14:paraId="38186A22" w14:textId="77777777" w:rsidR="001274F6" w:rsidRPr="004D2C0C" w:rsidRDefault="001274F6" w:rsidP="001274F6">
      <w:pPr>
        <w:spacing w:line="500" w:lineRule="atLeast"/>
        <w:jc w:val="both"/>
        <w:rPr>
          <w:rFonts w:eastAsia="標楷體"/>
          <w:sz w:val="32"/>
        </w:rPr>
      </w:pPr>
      <w:r w:rsidRPr="004D2C0C">
        <w:rPr>
          <w:rFonts w:eastAsia="標楷體"/>
          <w:sz w:val="32"/>
        </w:rPr>
        <w:t>升等等級</w:t>
      </w:r>
      <w:r w:rsidR="001135F0" w:rsidRPr="004D2C0C">
        <w:rPr>
          <w:rFonts w:eastAsia="標楷體" w:hint="eastAsia"/>
          <w:sz w:val="32"/>
        </w:rPr>
        <w:t>：</w:t>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ab/>
      </w:r>
      <w:r w:rsidRPr="004D2C0C">
        <w:rPr>
          <w:rFonts w:eastAsia="標楷體"/>
          <w:sz w:val="32"/>
        </w:rPr>
        <w:t>現在等級</w:t>
      </w:r>
      <w:r w:rsidR="001135F0" w:rsidRPr="004D2C0C">
        <w:rPr>
          <w:rFonts w:eastAsia="標楷體" w:hint="eastAsia"/>
          <w:sz w:val="32"/>
        </w:rPr>
        <w:t>：</w:t>
      </w:r>
    </w:p>
    <w:p w14:paraId="1BAC7338" w14:textId="77777777" w:rsidR="001274F6" w:rsidRPr="004D2C0C" w:rsidRDefault="001274F6" w:rsidP="001274F6">
      <w:pPr>
        <w:spacing w:line="500" w:lineRule="atLeast"/>
        <w:jc w:val="both"/>
        <w:rPr>
          <w:rFonts w:eastAsia="標楷體"/>
          <w:sz w:val="32"/>
        </w:rPr>
      </w:pPr>
    </w:p>
    <w:tbl>
      <w:tblPr>
        <w:tblW w:w="9840" w:type="dxa"/>
        <w:tblInd w:w="-152" w:type="dxa"/>
        <w:tblLayout w:type="fixed"/>
        <w:tblCellMar>
          <w:left w:w="28" w:type="dxa"/>
          <w:right w:w="28" w:type="dxa"/>
        </w:tblCellMar>
        <w:tblLook w:val="0000" w:firstRow="0" w:lastRow="0" w:firstColumn="0" w:lastColumn="0" w:noHBand="0" w:noVBand="0"/>
      </w:tblPr>
      <w:tblGrid>
        <w:gridCol w:w="3180"/>
        <w:gridCol w:w="1665"/>
        <w:gridCol w:w="1665"/>
        <w:gridCol w:w="1665"/>
        <w:gridCol w:w="1665"/>
      </w:tblGrid>
      <w:tr w:rsidR="001274F6" w:rsidRPr="004D2C0C" w14:paraId="647026B6" w14:textId="77777777" w:rsidTr="005B5539">
        <w:tc>
          <w:tcPr>
            <w:tcW w:w="3180" w:type="dxa"/>
            <w:tcBorders>
              <w:top w:val="single" w:sz="6" w:space="0" w:color="auto"/>
              <w:left w:val="single" w:sz="6" w:space="0" w:color="auto"/>
              <w:bottom w:val="single" w:sz="6" w:space="0" w:color="auto"/>
              <w:right w:val="single" w:sz="6" w:space="0" w:color="auto"/>
              <w:tl2br w:val="single" w:sz="6" w:space="0" w:color="auto"/>
            </w:tcBorders>
          </w:tcPr>
          <w:p w14:paraId="41CCEF27" w14:textId="77777777" w:rsidR="001274F6" w:rsidRPr="004D2C0C" w:rsidRDefault="001274F6" w:rsidP="005B5539">
            <w:pPr>
              <w:spacing w:line="500" w:lineRule="atLeast"/>
              <w:jc w:val="both"/>
              <w:rPr>
                <w:rFonts w:eastAsia="標楷體"/>
                <w:sz w:val="32"/>
              </w:rPr>
            </w:pPr>
            <w:r w:rsidRPr="004D2C0C">
              <w:rPr>
                <w:rFonts w:eastAsia="標楷體"/>
                <w:sz w:val="32"/>
              </w:rPr>
              <w:t xml:space="preserve">      </w:t>
            </w:r>
            <w:r w:rsidRPr="004D2C0C">
              <w:rPr>
                <w:rFonts w:eastAsia="標楷體"/>
                <w:sz w:val="32"/>
              </w:rPr>
              <w:t>等級</w:t>
            </w:r>
          </w:p>
          <w:p w14:paraId="6DFF93C4" w14:textId="77777777" w:rsidR="001274F6" w:rsidRPr="004D2C0C" w:rsidRDefault="001274F6" w:rsidP="005B5539">
            <w:pPr>
              <w:spacing w:line="500" w:lineRule="atLeast"/>
              <w:jc w:val="both"/>
              <w:rPr>
                <w:rFonts w:eastAsia="標楷體"/>
                <w:sz w:val="32"/>
              </w:rPr>
            </w:pPr>
            <w:r w:rsidRPr="004D2C0C">
              <w:rPr>
                <w:rFonts w:eastAsia="標楷體"/>
                <w:sz w:val="32"/>
              </w:rPr>
              <w:t>項目</w:t>
            </w:r>
          </w:p>
        </w:tc>
        <w:tc>
          <w:tcPr>
            <w:tcW w:w="1665" w:type="dxa"/>
            <w:tcBorders>
              <w:top w:val="single" w:sz="6" w:space="0" w:color="auto"/>
              <w:left w:val="single" w:sz="6" w:space="0" w:color="auto"/>
              <w:bottom w:val="single" w:sz="6" w:space="0" w:color="auto"/>
              <w:right w:val="single" w:sz="6" w:space="0" w:color="auto"/>
            </w:tcBorders>
          </w:tcPr>
          <w:p w14:paraId="00D4B5ED" w14:textId="77777777" w:rsidR="001274F6" w:rsidRPr="004D2C0C" w:rsidRDefault="001274F6" w:rsidP="005B5539">
            <w:pPr>
              <w:spacing w:before="240" w:line="500" w:lineRule="atLeast"/>
              <w:jc w:val="center"/>
              <w:rPr>
                <w:rFonts w:eastAsia="標楷體"/>
                <w:sz w:val="32"/>
              </w:rPr>
            </w:pPr>
            <w:r w:rsidRPr="004D2C0C">
              <w:rPr>
                <w:rFonts w:eastAsia="標楷體"/>
                <w:sz w:val="32"/>
              </w:rPr>
              <w:t>特優</w:t>
            </w:r>
          </w:p>
          <w:p w14:paraId="7B53F1FA" w14:textId="77777777" w:rsidR="001274F6" w:rsidRPr="004D2C0C" w:rsidRDefault="001274F6" w:rsidP="005B5539">
            <w:pPr>
              <w:spacing w:before="240" w:line="500" w:lineRule="atLeast"/>
              <w:jc w:val="center"/>
              <w:rPr>
                <w:rFonts w:eastAsia="標楷體"/>
                <w:sz w:val="32"/>
              </w:rPr>
            </w:pPr>
            <w:r w:rsidRPr="004D2C0C">
              <w:rPr>
                <w:rFonts w:eastAsia="標楷體"/>
                <w:sz w:val="32"/>
              </w:rPr>
              <w:t>(90-100)</w:t>
            </w:r>
          </w:p>
        </w:tc>
        <w:tc>
          <w:tcPr>
            <w:tcW w:w="1665" w:type="dxa"/>
            <w:tcBorders>
              <w:top w:val="single" w:sz="6" w:space="0" w:color="auto"/>
              <w:left w:val="single" w:sz="6" w:space="0" w:color="auto"/>
              <w:bottom w:val="single" w:sz="6" w:space="0" w:color="auto"/>
              <w:right w:val="single" w:sz="6" w:space="0" w:color="auto"/>
            </w:tcBorders>
          </w:tcPr>
          <w:p w14:paraId="5E76FC74" w14:textId="77777777" w:rsidR="001274F6" w:rsidRPr="004D2C0C" w:rsidRDefault="001274F6" w:rsidP="005B5539">
            <w:pPr>
              <w:spacing w:before="240" w:line="500" w:lineRule="atLeast"/>
              <w:jc w:val="center"/>
              <w:rPr>
                <w:rFonts w:eastAsia="標楷體"/>
                <w:sz w:val="32"/>
              </w:rPr>
            </w:pPr>
            <w:r w:rsidRPr="004D2C0C">
              <w:rPr>
                <w:rFonts w:eastAsia="標楷體"/>
                <w:sz w:val="32"/>
              </w:rPr>
              <w:t>優良</w:t>
            </w:r>
          </w:p>
          <w:p w14:paraId="15BFE475" w14:textId="77777777" w:rsidR="001274F6" w:rsidRPr="004D2C0C" w:rsidRDefault="001274F6" w:rsidP="005B5539">
            <w:pPr>
              <w:spacing w:before="240" w:line="500" w:lineRule="atLeast"/>
              <w:jc w:val="center"/>
              <w:rPr>
                <w:rFonts w:eastAsia="標楷體"/>
                <w:sz w:val="32"/>
              </w:rPr>
            </w:pPr>
            <w:r w:rsidRPr="004D2C0C">
              <w:rPr>
                <w:rFonts w:eastAsia="標楷體"/>
                <w:sz w:val="32"/>
              </w:rPr>
              <w:t>(89-80)</w:t>
            </w:r>
          </w:p>
        </w:tc>
        <w:tc>
          <w:tcPr>
            <w:tcW w:w="1665" w:type="dxa"/>
            <w:tcBorders>
              <w:top w:val="single" w:sz="6" w:space="0" w:color="auto"/>
              <w:left w:val="single" w:sz="6" w:space="0" w:color="auto"/>
              <w:bottom w:val="single" w:sz="6" w:space="0" w:color="auto"/>
              <w:right w:val="single" w:sz="6" w:space="0" w:color="auto"/>
            </w:tcBorders>
          </w:tcPr>
          <w:p w14:paraId="7DAC08B5" w14:textId="77777777" w:rsidR="001274F6" w:rsidRPr="004D2C0C" w:rsidRDefault="001274F6" w:rsidP="005B5539">
            <w:pPr>
              <w:spacing w:before="240" w:line="500" w:lineRule="atLeast"/>
              <w:jc w:val="center"/>
              <w:rPr>
                <w:rFonts w:eastAsia="標楷體"/>
                <w:sz w:val="32"/>
              </w:rPr>
            </w:pPr>
            <w:r w:rsidRPr="004D2C0C">
              <w:rPr>
                <w:rFonts w:eastAsia="標楷體"/>
                <w:sz w:val="32"/>
              </w:rPr>
              <w:t>普通</w:t>
            </w:r>
          </w:p>
          <w:p w14:paraId="4BD70E66" w14:textId="77777777" w:rsidR="001274F6" w:rsidRPr="004D2C0C" w:rsidRDefault="001274F6" w:rsidP="005B5539">
            <w:pPr>
              <w:spacing w:before="240" w:line="500" w:lineRule="atLeast"/>
              <w:jc w:val="center"/>
              <w:rPr>
                <w:rFonts w:eastAsia="標楷體"/>
                <w:sz w:val="32"/>
              </w:rPr>
            </w:pPr>
            <w:r w:rsidRPr="004D2C0C">
              <w:rPr>
                <w:rFonts w:eastAsia="標楷體"/>
                <w:sz w:val="32"/>
              </w:rPr>
              <w:t>(70-79)</w:t>
            </w:r>
          </w:p>
        </w:tc>
        <w:tc>
          <w:tcPr>
            <w:tcW w:w="1665" w:type="dxa"/>
            <w:tcBorders>
              <w:top w:val="single" w:sz="6" w:space="0" w:color="auto"/>
              <w:left w:val="single" w:sz="6" w:space="0" w:color="auto"/>
              <w:bottom w:val="single" w:sz="6" w:space="0" w:color="auto"/>
              <w:right w:val="single" w:sz="6" w:space="0" w:color="auto"/>
            </w:tcBorders>
          </w:tcPr>
          <w:p w14:paraId="145048A2" w14:textId="77777777" w:rsidR="001274F6" w:rsidRPr="004D2C0C" w:rsidRDefault="001274F6" w:rsidP="005B5539">
            <w:pPr>
              <w:spacing w:before="240" w:line="500" w:lineRule="atLeast"/>
              <w:jc w:val="center"/>
              <w:rPr>
                <w:rFonts w:eastAsia="標楷體"/>
                <w:sz w:val="32"/>
              </w:rPr>
            </w:pPr>
            <w:r w:rsidRPr="004D2C0C">
              <w:rPr>
                <w:rFonts w:eastAsia="標楷體"/>
                <w:sz w:val="32"/>
              </w:rPr>
              <w:t>欠佳</w:t>
            </w:r>
          </w:p>
          <w:p w14:paraId="66FF1FB4" w14:textId="77777777" w:rsidR="001274F6" w:rsidRPr="004D2C0C" w:rsidRDefault="001274F6" w:rsidP="005B5539">
            <w:pPr>
              <w:spacing w:before="240" w:line="500" w:lineRule="atLeast"/>
              <w:jc w:val="center"/>
              <w:rPr>
                <w:rFonts w:eastAsia="標楷體"/>
                <w:sz w:val="32"/>
              </w:rPr>
            </w:pPr>
            <w:r w:rsidRPr="004D2C0C">
              <w:rPr>
                <w:rFonts w:eastAsia="標楷體"/>
                <w:sz w:val="32"/>
              </w:rPr>
              <w:t>(69</w:t>
            </w:r>
            <w:r w:rsidRPr="004D2C0C">
              <w:rPr>
                <w:rFonts w:eastAsia="標楷體"/>
                <w:sz w:val="32"/>
              </w:rPr>
              <w:t>以下</w:t>
            </w:r>
            <w:r w:rsidRPr="004D2C0C">
              <w:rPr>
                <w:rFonts w:eastAsia="標楷體"/>
                <w:sz w:val="32"/>
              </w:rPr>
              <w:t>)</w:t>
            </w:r>
          </w:p>
        </w:tc>
      </w:tr>
      <w:tr w:rsidR="001274F6" w:rsidRPr="004D2C0C" w14:paraId="635145FC" w14:textId="77777777" w:rsidTr="005B5539">
        <w:tc>
          <w:tcPr>
            <w:tcW w:w="3180" w:type="dxa"/>
            <w:tcBorders>
              <w:top w:val="single" w:sz="6" w:space="0" w:color="auto"/>
              <w:left w:val="single" w:sz="6" w:space="0" w:color="auto"/>
              <w:bottom w:val="single" w:sz="6" w:space="0" w:color="auto"/>
              <w:right w:val="single" w:sz="6" w:space="0" w:color="auto"/>
            </w:tcBorders>
          </w:tcPr>
          <w:p w14:paraId="3D8A0AA7" w14:textId="77777777" w:rsidR="001274F6" w:rsidRPr="004D2C0C" w:rsidRDefault="001274F6" w:rsidP="005B5539">
            <w:pPr>
              <w:spacing w:line="600" w:lineRule="atLeast"/>
              <w:jc w:val="both"/>
              <w:rPr>
                <w:rFonts w:eastAsia="標楷體"/>
                <w:sz w:val="32"/>
              </w:rPr>
            </w:pPr>
            <w:r w:rsidRPr="004D2C0C">
              <w:rPr>
                <w:rFonts w:eastAsia="標楷體"/>
                <w:sz w:val="32"/>
              </w:rPr>
              <w:t>代表作之價值（</w:t>
            </w:r>
            <w:r w:rsidRPr="004D2C0C">
              <w:rPr>
                <w:rFonts w:eastAsia="標楷體"/>
                <w:sz w:val="32"/>
              </w:rPr>
              <w:t>36</w:t>
            </w:r>
            <w:proofErr w:type="gramStart"/>
            <w:r w:rsidRPr="004D2C0C">
              <w:rPr>
                <w:rFonts w:eastAsia="標楷體"/>
                <w:sz w:val="32"/>
              </w:rPr>
              <w:t>﹪</w:t>
            </w:r>
            <w:proofErr w:type="gramEnd"/>
            <w:r w:rsidRPr="004D2C0C">
              <w:rPr>
                <w:rFonts w:eastAsia="標楷體"/>
                <w:sz w:val="32"/>
              </w:rPr>
              <w:t>）</w:t>
            </w:r>
          </w:p>
        </w:tc>
        <w:tc>
          <w:tcPr>
            <w:tcW w:w="1665" w:type="dxa"/>
            <w:tcBorders>
              <w:top w:val="single" w:sz="6" w:space="0" w:color="auto"/>
              <w:left w:val="single" w:sz="6" w:space="0" w:color="auto"/>
              <w:bottom w:val="single" w:sz="6" w:space="0" w:color="auto"/>
              <w:right w:val="single" w:sz="6" w:space="0" w:color="auto"/>
            </w:tcBorders>
          </w:tcPr>
          <w:p w14:paraId="73C79024" w14:textId="77777777" w:rsidR="001274F6" w:rsidRPr="004D2C0C" w:rsidRDefault="001274F6" w:rsidP="005B5539">
            <w:pPr>
              <w:spacing w:line="600" w:lineRule="atLeast"/>
              <w:jc w:val="both"/>
              <w:rPr>
                <w:rFonts w:eastAsia="標楷體"/>
                <w:sz w:val="32"/>
              </w:rPr>
            </w:pPr>
          </w:p>
        </w:tc>
        <w:tc>
          <w:tcPr>
            <w:tcW w:w="1665" w:type="dxa"/>
            <w:tcBorders>
              <w:top w:val="single" w:sz="6" w:space="0" w:color="auto"/>
              <w:left w:val="single" w:sz="6" w:space="0" w:color="auto"/>
              <w:bottom w:val="single" w:sz="6" w:space="0" w:color="auto"/>
              <w:right w:val="single" w:sz="6" w:space="0" w:color="auto"/>
            </w:tcBorders>
          </w:tcPr>
          <w:p w14:paraId="49F1AF5C" w14:textId="77777777" w:rsidR="001274F6" w:rsidRPr="004D2C0C" w:rsidRDefault="001274F6" w:rsidP="005B5539">
            <w:pPr>
              <w:spacing w:line="600" w:lineRule="atLeast"/>
              <w:jc w:val="both"/>
              <w:rPr>
                <w:rFonts w:eastAsia="標楷體"/>
                <w:sz w:val="32"/>
              </w:rPr>
            </w:pPr>
          </w:p>
        </w:tc>
        <w:tc>
          <w:tcPr>
            <w:tcW w:w="1665" w:type="dxa"/>
            <w:tcBorders>
              <w:top w:val="single" w:sz="6" w:space="0" w:color="auto"/>
              <w:left w:val="single" w:sz="6" w:space="0" w:color="auto"/>
              <w:bottom w:val="single" w:sz="6" w:space="0" w:color="auto"/>
              <w:right w:val="single" w:sz="6" w:space="0" w:color="auto"/>
            </w:tcBorders>
          </w:tcPr>
          <w:p w14:paraId="57E1470B" w14:textId="77777777" w:rsidR="001274F6" w:rsidRPr="004D2C0C" w:rsidRDefault="001274F6" w:rsidP="005B5539">
            <w:pPr>
              <w:spacing w:line="600" w:lineRule="atLeast"/>
              <w:jc w:val="both"/>
              <w:rPr>
                <w:rFonts w:eastAsia="標楷體"/>
                <w:sz w:val="32"/>
              </w:rPr>
            </w:pPr>
          </w:p>
        </w:tc>
        <w:tc>
          <w:tcPr>
            <w:tcW w:w="1665" w:type="dxa"/>
            <w:tcBorders>
              <w:top w:val="single" w:sz="6" w:space="0" w:color="auto"/>
              <w:left w:val="single" w:sz="6" w:space="0" w:color="auto"/>
              <w:bottom w:val="single" w:sz="6" w:space="0" w:color="auto"/>
              <w:right w:val="single" w:sz="6" w:space="0" w:color="auto"/>
            </w:tcBorders>
          </w:tcPr>
          <w:p w14:paraId="786F5D0A" w14:textId="77777777" w:rsidR="001274F6" w:rsidRPr="004D2C0C" w:rsidRDefault="001274F6" w:rsidP="005B5539">
            <w:pPr>
              <w:spacing w:line="600" w:lineRule="atLeast"/>
              <w:jc w:val="both"/>
              <w:rPr>
                <w:rFonts w:eastAsia="標楷體"/>
                <w:sz w:val="32"/>
              </w:rPr>
            </w:pPr>
          </w:p>
        </w:tc>
      </w:tr>
      <w:tr w:rsidR="001274F6" w:rsidRPr="004D2C0C" w14:paraId="3AB72C13" w14:textId="77777777" w:rsidTr="005B5539">
        <w:tc>
          <w:tcPr>
            <w:tcW w:w="3180" w:type="dxa"/>
            <w:tcBorders>
              <w:top w:val="single" w:sz="6" w:space="0" w:color="auto"/>
              <w:left w:val="single" w:sz="6" w:space="0" w:color="auto"/>
              <w:bottom w:val="single" w:sz="6" w:space="0" w:color="auto"/>
              <w:right w:val="single" w:sz="6" w:space="0" w:color="auto"/>
            </w:tcBorders>
          </w:tcPr>
          <w:p w14:paraId="3FF6D067" w14:textId="77777777" w:rsidR="001274F6" w:rsidRPr="004D2C0C" w:rsidRDefault="001274F6" w:rsidP="005B5539">
            <w:pPr>
              <w:spacing w:line="600" w:lineRule="atLeast"/>
              <w:jc w:val="both"/>
              <w:rPr>
                <w:rFonts w:eastAsia="標楷體"/>
                <w:sz w:val="32"/>
              </w:rPr>
            </w:pPr>
            <w:r w:rsidRPr="004D2C0C">
              <w:rPr>
                <w:rFonts w:eastAsia="標楷體"/>
                <w:sz w:val="32"/>
              </w:rPr>
              <w:t>其他作品（</w:t>
            </w:r>
            <w:r w:rsidRPr="004D2C0C">
              <w:rPr>
                <w:rFonts w:eastAsia="標楷體"/>
                <w:sz w:val="32"/>
              </w:rPr>
              <w:t>24</w:t>
            </w:r>
            <w:proofErr w:type="gramStart"/>
            <w:r w:rsidRPr="004D2C0C">
              <w:rPr>
                <w:rFonts w:eastAsia="標楷體"/>
                <w:sz w:val="32"/>
              </w:rPr>
              <w:t>﹪</w:t>
            </w:r>
            <w:proofErr w:type="gramEnd"/>
            <w:r w:rsidRPr="004D2C0C">
              <w:rPr>
                <w:rFonts w:eastAsia="標楷體"/>
                <w:sz w:val="32"/>
              </w:rPr>
              <w:t>）</w:t>
            </w:r>
          </w:p>
        </w:tc>
        <w:tc>
          <w:tcPr>
            <w:tcW w:w="1665" w:type="dxa"/>
            <w:tcBorders>
              <w:top w:val="single" w:sz="6" w:space="0" w:color="auto"/>
              <w:left w:val="single" w:sz="6" w:space="0" w:color="auto"/>
              <w:bottom w:val="single" w:sz="6" w:space="0" w:color="auto"/>
              <w:right w:val="single" w:sz="6" w:space="0" w:color="auto"/>
            </w:tcBorders>
          </w:tcPr>
          <w:p w14:paraId="7AA5E2EB" w14:textId="77777777" w:rsidR="001274F6" w:rsidRPr="004D2C0C" w:rsidRDefault="001274F6" w:rsidP="005B5539">
            <w:pPr>
              <w:spacing w:line="600" w:lineRule="atLeast"/>
              <w:jc w:val="both"/>
              <w:rPr>
                <w:rFonts w:eastAsia="標楷體"/>
                <w:sz w:val="32"/>
              </w:rPr>
            </w:pPr>
          </w:p>
        </w:tc>
        <w:tc>
          <w:tcPr>
            <w:tcW w:w="1665" w:type="dxa"/>
            <w:tcBorders>
              <w:top w:val="single" w:sz="6" w:space="0" w:color="auto"/>
              <w:left w:val="single" w:sz="6" w:space="0" w:color="auto"/>
              <w:bottom w:val="single" w:sz="6" w:space="0" w:color="auto"/>
              <w:right w:val="single" w:sz="6" w:space="0" w:color="auto"/>
            </w:tcBorders>
          </w:tcPr>
          <w:p w14:paraId="48FF59F7" w14:textId="77777777" w:rsidR="001274F6" w:rsidRPr="004D2C0C" w:rsidRDefault="001274F6" w:rsidP="005B5539">
            <w:pPr>
              <w:spacing w:line="600" w:lineRule="atLeast"/>
              <w:jc w:val="both"/>
              <w:rPr>
                <w:rFonts w:eastAsia="標楷體"/>
                <w:sz w:val="32"/>
              </w:rPr>
            </w:pPr>
          </w:p>
        </w:tc>
        <w:tc>
          <w:tcPr>
            <w:tcW w:w="1665" w:type="dxa"/>
            <w:tcBorders>
              <w:top w:val="single" w:sz="6" w:space="0" w:color="auto"/>
              <w:left w:val="single" w:sz="6" w:space="0" w:color="auto"/>
              <w:bottom w:val="single" w:sz="6" w:space="0" w:color="auto"/>
              <w:right w:val="single" w:sz="6" w:space="0" w:color="auto"/>
            </w:tcBorders>
          </w:tcPr>
          <w:p w14:paraId="072B37AB" w14:textId="77777777" w:rsidR="001274F6" w:rsidRPr="004D2C0C" w:rsidRDefault="001274F6" w:rsidP="005B5539">
            <w:pPr>
              <w:spacing w:line="600" w:lineRule="atLeast"/>
              <w:jc w:val="both"/>
              <w:rPr>
                <w:rFonts w:eastAsia="標楷體"/>
                <w:sz w:val="32"/>
              </w:rPr>
            </w:pPr>
          </w:p>
        </w:tc>
        <w:tc>
          <w:tcPr>
            <w:tcW w:w="1665" w:type="dxa"/>
            <w:tcBorders>
              <w:top w:val="single" w:sz="6" w:space="0" w:color="auto"/>
              <w:left w:val="single" w:sz="6" w:space="0" w:color="auto"/>
              <w:bottom w:val="single" w:sz="6" w:space="0" w:color="auto"/>
              <w:right w:val="single" w:sz="6" w:space="0" w:color="auto"/>
            </w:tcBorders>
          </w:tcPr>
          <w:p w14:paraId="200353EB" w14:textId="77777777" w:rsidR="001274F6" w:rsidRPr="004D2C0C" w:rsidRDefault="001274F6" w:rsidP="005B5539">
            <w:pPr>
              <w:spacing w:line="600" w:lineRule="atLeast"/>
              <w:jc w:val="both"/>
              <w:rPr>
                <w:rFonts w:eastAsia="標楷體"/>
                <w:sz w:val="32"/>
              </w:rPr>
            </w:pPr>
          </w:p>
        </w:tc>
      </w:tr>
      <w:tr w:rsidR="001274F6" w:rsidRPr="004D2C0C" w14:paraId="1E4FCC80" w14:textId="77777777" w:rsidTr="005B5539">
        <w:tc>
          <w:tcPr>
            <w:tcW w:w="3180" w:type="dxa"/>
            <w:tcBorders>
              <w:top w:val="single" w:sz="6" w:space="0" w:color="auto"/>
              <w:left w:val="single" w:sz="6" w:space="0" w:color="auto"/>
              <w:bottom w:val="single" w:sz="6" w:space="0" w:color="auto"/>
              <w:right w:val="single" w:sz="6" w:space="0" w:color="auto"/>
            </w:tcBorders>
          </w:tcPr>
          <w:p w14:paraId="2022963E" w14:textId="77777777" w:rsidR="001274F6" w:rsidRPr="004D2C0C" w:rsidRDefault="001274F6" w:rsidP="005B5539">
            <w:pPr>
              <w:spacing w:line="600" w:lineRule="atLeast"/>
              <w:jc w:val="both"/>
              <w:rPr>
                <w:rFonts w:eastAsia="標楷體"/>
                <w:sz w:val="32"/>
              </w:rPr>
            </w:pPr>
            <w:r w:rsidRPr="004D2C0C">
              <w:rPr>
                <w:rFonts w:eastAsia="標楷體"/>
                <w:sz w:val="32"/>
              </w:rPr>
              <w:t>教學（</w:t>
            </w:r>
            <w:r w:rsidRPr="004D2C0C">
              <w:rPr>
                <w:rFonts w:eastAsia="標楷體"/>
                <w:sz w:val="32"/>
              </w:rPr>
              <w:t>20</w:t>
            </w:r>
            <w:proofErr w:type="gramStart"/>
            <w:r w:rsidRPr="004D2C0C">
              <w:rPr>
                <w:rFonts w:eastAsia="標楷體"/>
                <w:sz w:val="32"/>
              </w:rPr>
              <w:t>﹪</w:t>
            </w:r>
            <w:proofErr w:type="gramEnd"/>
            <w:r w:rsidRPr="004D2C0C">
              <w:rPr>
                <w:rFonts w:eastAsia="標楷體"/>
                <w:sz w:val="32"/>
              </w:rPr>
              <w:t>）</w:t>
            </w:r>
          </w:p>
        </w:tc>
        <w:tc>
          <w:tcPr>
            <w:tcW w:w="1665" w:type="dxa"/>
            <w:tcBorders>
              <w:top w:val="single" w:sz="6" w:space="0" w:color="auto"/>
              <w:left w:val="single" w:sz="6" w:space="0" w:color="auto"/>
              <w:bottom w:val="single" w:sz="6" w:space="0" w:color="auto"/>
              <w:right w:val="single" w:sz="6" w:space="0" w:color="auto"/>
            </w:tcBorders>
          </w:tcPr>
          <w:p w14:paraId="69EA8AFC" w14:textId="77777777" w:rsidR="001274F6" w:rsidRPr="004D2C0C" w:rsidRDefault="001274F6" w:rsidP="005B5539">
            <w:pPr>
              <w:spacing w:line="600" w:lineRule="atLeast"/>
              <w:jc w:val="both"/>
              <w:rPr>
                <w:rFonts w:eastAsia="標楷體"/>
                <w:sz w:val="32"/>
              </w:rPr>
            </w:pPr>
          </w:p>
        </w:tc>
        <w:tc>
          <w:tcPr>
            <w:tcW w:w="1665" w:type="dxa"/>
            <w:tcBorders>
              <w:top w:val="single" w:sz="6" w:space="0" w:color="auto"/>
              <w:left w:val="single" w:sz="6" w:space="0" w:color="auto"/>
              <w:bottom w:val="single" w:sz="6" w:space="0" w:color="auto"/>
              <w:right w:val="single" w:sz="6" w:space="0" w:color="auto"/>
            </w:tcBorders>
          </w:tcPr>
          <w:p w14:paraId="65E2C3CE" w14:textId="77777777" w:rsidR="001274F6" w:rsidRPr="004D2C0C" w:rsidRDefault="001274F6" w:rsidP="005B5539">
            <w:pPr>
              <w:spacing w:line="600" w:lineRule="atLeast"/>
              <w:jc w:val="both"/>
              <w:rPr>
                <w:rFonts w:eastAsia="標楷體"/>
                <w:sz w:val="32"/>
              </w:rPr>
            </w:pPr>
          </w:p>
        </w:tc>
        <w:tc>
          <w:tcPr>
            <w:tcW w:w="1665" w:type="dxa"/>
            <w:tcBorders>
              <w:top w:val="single" w:sz="6" w:space="0" w:color="auto"/>
              <w:left w:val="single" w:sz="6" w:space="0" w:color="auto"/>
              <w:bottom w:val="single" w:sz="6" w:space="0" w:color="auto"/>
              <w:right w:val="single" w:sz="6" w:space="0" w:color="auto"/>
            </w:tcBorders>
          </w:tcPr>
          <w:p w14:paraId="477EA302" w14:textId="77777777" w:rsidR="001274F6" w:rsidRPr="004D2C0C" w:rsidRDefault="001274F6" w:rsidP="005B5539">
            <w:pPr>
              <w:spacing w:line="600" w:lineRule="atLeast"/>
              <w:jc w:val="both"/>
              <w:rPr>
                <w:rFonts w:eastAsia="標楷體"/>
                <w:sz w:val="32"/>
              </w:rPr>
            </w:pPr>
          </w:p>
        </w:tc>
        <w:tc>
          <w:tcPr>
            <w:tcW w:w="1665" w:type="dxa"/>
            <w:tcBorders>
              <w:top w:val="single" w:sz="6" w:space="0" w:color="auto"/>
              <w:left w:val="single" w:sz="6" w:space="0" w:color="auto"/>
              <w:bottom w:val="single" w:sz="6" w:space="0" w:color="auto"/>
              <w:right w:val="single" w:sz="6" w:space="0" w:color="auto"/>
            </w:tcBorders>
          </w:tcPr>
          <w:p w14:paraId="60405027" w14:textId="77777777" w:rsidR="001274F6" w:rsidRPr="004D2C0C" w:rsidRDefault="001274F6" w:rsidP="005B5539">
            <w:pPr>
              <w:spacing w:line="600" w:lineRule="atLeast"/>
              <w:jc w:val="both"/>
              <w:rPr>
                <w:rFonts w:eastAsia="標楷體"/>
                <w:sz w:val="32"/>
              </w:rPr>
            </w:pPr>
          </w:p>
        </w:tc>
      </w:tr>
      <w:tr w:rsidR="001274F6" w:rsidRPr="004D2C0C" w14:paraId="24EE0045" w14:textId="77777777" w:rsidTr="005B5539">
        <w:tc>
          <w:tcPr>
            <w:tcW w:w="3180" w:type="dxa"/>
            <w:tcBorders>
              <w:top w:val="single" w:sz="6" w:space="0" w:color="auto"/>
              <w:left w:val="single" w:sz="6" w:space="0" w:color="auto"/>
              <w:bottom w:val="single" w:sz="6" w:space="0" w:color="auto"/>
              <w:right w:val="single" w:sz="6" w:space="0" w:color="auto"/>
            </w:tcBorders>
          </w:tcPr>
          <w:p w14:paraId="7665064A" w14:textId="77777777" w:rsidR="001274F6" w:rsidRPr="004D2C0C" w:rsidRDefault="001274F6" w:rsidP="005B5539">
            <w:pPr>
              <w:spacing w:line="600" w:lineRule="atLeast"/>
              <w:jc w:val="both"/>
              <w:rPr>
                <w:rFonts w:eastAsia="標楷體"/>
                <w:sz w:val="32"/>
              </w:rPr>
            </w:pPr>
            <w:r w:rsidRPr="004D2C0C">
              <w:rPr>
                <w:rFonts w:eastAsia="標楷體"/>
                <w:sz w:val="32"/>
              </w:rPr>
              <w:t>服務與年資（</w:t>
            </w:r>
            <w:r w:rsidRPr="004D2C0C">
              <w:rPr>
                <w:rFonts w:eastAsia="標楷體"/>
                <w:sz w:val="32"/>
              </w:rPr>
              <w:t>10</w:t>
            </w:r>
            <w:proofErr w:type="gramStart"/>
            <w:r w:rsidRPr="004D2C0C">
              <w:rPr>
                <w:rFonts w:eastAsia="標楷體"/>
                <w:sz w:val="32"/>
              </w:rPr>
              <w:t>﹪</w:t>
            </w:r>
            <w:proofErr w:type="gramEnd"/>
            <w:r w:rsidRPr="004D2C0C">
              <w:rPr>
                <w:rFonts w:eastAsia="標楷體"/>
                <w:sz w:val="32"/>
              </w:rPr>
              <w:t>）</w:t>
            </w:r>
          </w:p>
        </w:tc>
        <w:tc>
          <w:tcPr>
            <w:tcW w:w="1665" w:type="dxa"/>
            <w:tcBorders>
              <w:top w:val="single" w:sz="6" w:space="0" w:color="auto"/>
              <w:left w:val="single" w:sz="6" w:space="0" w:color="auto"/>
              <w:bottom w:val="single" w:sz="6" w:space="0" w:color="auto"/>
              <w:right w:val="single" w:sz="6" w:space="0" w:color="auto"/>
            </w:tcBorders>
          </w:tcPr>
          <w:p w14:paraId="1CAF4324" w14:textId="77777777" w:rsidR="001274F6" w:rsidRPr="004D2C0C" w:rsidRDefault="001274F6" w:rsidP="005B5539">
            <w:pPr>
              <w:spacing w:line="600" w:lineRule="atLeast"/>
              <w:jc w:val="both"/>
              <w:rPr>
                <w:rFonts w:eastAsia="標楷體"/>
                <w:sz w:val="32"/>
              </w:rPr>
            </w:pPr>
          </w:p>
        </w:tc>
        <w:tc>
          <w:tcPr>
            <w:tcW w:w="1665" w:type="dxa"/>
            <w:tcBorders>
              <w:top w:val="single" w:sz="6" w:space="0" w:color="auto"/>
              <w:left w:val="single" w:sz="6" w:space="0" w:color="auto"/>
              <w:bottom w:val="single" w:sz="6" w:space="0" w:color="auto"/>
              <w:right w:val="single" w:sz="6" w:space="0" w:color="auto"/>
            </w:tcBorders>
          </w:tcPr>
          <w:p w14:paraId="0AAF721B" w14:textId="77777777" w:rsidR="001274F6" w:rsidRPr="004D2C0C" w:rsidRDefault="001274F6" w:rsidP="005B5539">
            <w:pPr>
              <w:spacing w:line="600" w:lineRule="atLeast"/>
              <w:jc w:val="both"/>
              <w:rPr>
                <w:rFonts w:eastAsia="標楷體"/>
                <w:sz w:val="32"/>
              </w:rPr>
            </w:pPr>
          </w:p>
        </w:tc>
        <w:tc>
          <w:tcPr>
            <w:tcW w:w="1665" w:type="dxa"/>
            <w:tcBorders>
              <w:top w:val="single" w:sz="6" w:space="0" w:color="auto"/>
              <w:left w:val="single" w:sz="6" w:space="0" w:color="auto"/>
              <w:bottom w:val="single" w:sz="6" w:space="0" w:color="auto"/>
              <w:right w:val="single" w:sz="6" w:space="0" w:color="auto"/>
            </w:tcBorders>
          </w:tcPr>
          <w:p w14:paraId="07B927DD" w14:textId="77777777" w:rsidR="001274F6" w:rsidRPr="004D2C0C" w:rsidRDefault="001274F6" w:rsidP="005B5539">
            <w:pPr>
              <w:spacing w:line="600" w:lineRule="atLeast"/>
              <w:jc w:val="both"/>
              <w:rPr>
                <w:rFonts w:eastAsia="標楷體"/>
                <w:sz w:val="32"/>
              </w:rPr>
            </w:pPr>
          </w:p>
        </w:tc>
        <w:tc>
          <w:tcPr>
            <w:tcW w:w="1665" w:type="dxa"/>
            <w:tcBorders>
              <w:top w:val="single" w:sz="6" w:space="0" w:color="auto"/>
              <w:left w:val="single" w:sz="6" w:space="0" w:color="auto"/>
              <w:bottom w:val="single" w:sz="6" w:space="0" w:color="auto"/>
              <w:right w:val="single" w:sz="6" w:space="0" w:color="auto"/>
            </w:tcBorders>
          </w:tcPr>
          <w:p w14:paraId="653B09A6" w14:textId="77777777" w:rsidR="001274F6" w:rsidRPr="004D2C0C" w:rsidRDefault="001274F6" w:rsidP="005B5539">
            <w:pPr>
              <w:spacing w:line="600" w:lineRule="atLeast"/>
              <w:jc w:val="both"/>
              <w:rPr>
                <w:rFonts w:eastAsia="標楷體"/>
                <w:sz w:val="32"/>
              </w:rPr>
            </w:pPr>
          </w:p>
        </w:tc>
      </w:tr>
      <w:tr w:rsidR="001274F6" w:rsidRPr="004D2C0C" w14:paraId="66CF452C" w14:textId="77777777" w:rsidTr="005B5539">
        <w:tc>
          <w:tcPr>
            <w:tcW w:w="3180" w:type="dxa"/>
            <w:tcBorders>
              <w:top w:val="single" w:sz="6" w:space="0" w:color="auto"/>
              <w:left w:val="single" w:sz="6" w:space="0" w:color="auto"/>
              <w:bottom w:val="single" w:sz="6" w:space="0" w:color="auto"/>
              <w:right w:val="single" w:sz="6" w:space="0" w:color="auto"/>
            </w:tcBorders>
          </w:tcPr>
          <w:p w14:paraId="598D1E2C" w14:textId="77777777" w:rsidR="001274F6" w:rsidRPr="004D2C0C" w:rsidRDefault="001274F6" w:rsidP="005B5539">
            <w:pPr>
              <w:spacing w:line="600" w:lineRule="atLeast"/>
              <w:jc w:val="both"/>
              <w:rPr>
                <w:rFonts w:eastAsia="標楷體"/>
                <w:sz w:val="32"/>
              </w:rPr>
            </w:pPr>
            <w:r w:rsidRPr="004D2C0C">
              <w:rPr>
                <w:rFonts w:eastAsia="標楷體"/>
                <w:sz w:val="32"/>
              </w:rPr>
              <w:t>輔導（</w:t>
            </w:r>
            <w:r w:rsidRPr="004D2C0C">
              <w:rPr>
                <w:rFonts w:eastAsia="標楷體"/>
                <w:sz w:val="32"/>
              </w:rPr>
              <w:t>10</w:t>
            </w:r>
            <w:r w:rsidRPr="004D2C0C">
              <w:rPr>
                <w:rFonts w:eastAsia="標楷體"/>
                <w:sz w:val="32"/>
              </w:rPr>
              <w:t>％）</w:t>
            </w:r>
          </w:p>
        </w:tc>
        <w:tc>
          <w:tcPr>
            <w:tcW w:w="1665" w:type="dxa"/>
            <w:tcBorders>
              <w:top w:val="single" w:sz="6" w:space="0" w:color="auto"/>
              <w:left w:val="single" w:sz="6" w:space="0" w:color="auto"/>
              <w:bottom w:val="single" w:sz="6" w:space="0" w:color="auto"/>
              <w:right w:val="single" w:sz="6" w:space="0" w:color="auto"/>
            </w:tcBorders>
          </w:tcPr>
          <w:p w14:paraId="15CB664A" w14:textId="77777777" w:rsidR="001274F6" w:rsidRPr="004D2C0C" w:rsidRDefault="001274F6" w:rsidP="005B5539">
            <w:pPr>
              <w:spacing w:line="600" w:lineRule="atLeast"/>
              <w:jc w:val="both"/>
              <w:rPr>
                <w:rFonts w:eastAsia="標楷體"/>
                <w:sz w:val="32"/>
              </w:rPr>
            </w:pPr>
          </w:p>
        </w:tc>
        <w:tc>
          <w:tcPr>
            <w:tcW w:w="1665" w:type="dxa"/>
            <w:tcBorders>
              <w:top w:val="single" w:sz="6" w:space="0" w:color="auto"/>
              <w:left w:val="single" w:sz="6" w:space="0" w:color="auto"/>
              <w:bottom w:val="single" w:sz="6" w:space="0" w:color="auto"/>
              <w:right w:val="single" w:sz="6" w:space="0" w:color="auto"/>
            </w:tcBorders>
          </w:tcPr>
          <w:p w14:paraId="371FD25D" w14:textId="77777777" w:rsidR="001274F6" w:rsidRPr="004D2C0C" w:rsidRDefault="001274F6" w:rsidP="005B5539">
            <w:pPr>
              <w:spacing w:line="600" w:lineRule="atLeast"/>
              <w:jc w:val="both"/>
              <w:rPr>
                <w:rFonts w:eastAsia="標楷體"/>
                <w:sz w:val="32"/>
              </w:rPr>
            </w:pPr>
          </w:p>
        </w:tc>
        <w:tc>
          <w:tcPr>
            <w:tcW w:w="1665" w:type="dxa"/>
            <w:tcBorders>
              <w:top w:val="single" w:sz="6" w:space="0" w:color="auto"/>
              <w:left w:val="single" w:sz="6" w:space="0" w:color="auto"/>
              <w:bottom w:val="single" w:sz="6" w:space="0" w:color="auto"/>
              <w:right w:val="single" w:sz="6" w:space="0" w:color="auto"/>
            </w:tcBorders>
          </w:tcPr>
          <w:p w14:paraId="5AD61D70" w14:textId="77777777" w:rsidR="001274F6" w:rsidRPr="004D2C0C" w:rsidRDefault="001274F6" w:rsidP="005B5539">
            <w:pPr>
              <w:spacing w:line="600" w:lineRule="atLeast"/>
              <w:jc w:val="both"/>
              <w:rPr>
                <w:rFonts w:eastAsia="標楷體"/>
                <w:sz w:val="32"/>
              </w:rPr>
            </w:pPr>
          </w:p>
        </w:tc>
        <w:tc>
          <w:tcPr>
            <w:tcW w:w="1665" w:type="dxa"/>
            <w:tcBorders>
              <w:top w:val="single" w:sz="6" w:space="0" w:color="auto"/>
              <w:left w:val="single" w:sz="6" w:space="0" w:color="auto"/>
              <w:bottom w:val="single" w:sz="6" w:space="0" w:color="auto"/>
              <w:right w:val="single" w:sz="6" w:space="0" w:color="auto"/>
            </w:tcBorders>
          </w:tcPr>
          <w:p w14:paraId="633441DA" w14:textId="77777777" w:rsidR="001274F6" w:rsidRPr="004D2C0C" w:rsidRDefault="001274F6" w:rsidP="005B5539">
            <w:pPr>
              <w:spacing w:line="600" w:lineRule="atLeast"/>
              <w:jc w:val="both"/>
              <w:rPr>
                <w:rFonts w:eastAsia="標楷體"/>
                <w:sz w:val="32"/>
              </w:rPr>
            </w:pPr>
          </w:p>
        </w:tc>
      </w:tr>
    </w:tbl>
    <w:p w14:paraId="389DA84A" w14:textId="77777777" w:rsidR="001274F6" w:rsidRPr="004D2C0C" w:rsidRDefault="001274F6" w:rsidP="001274F6">
      <w:pPr>
        <w:spacing w:line="500" w:lineRule="atLeast"/>
        <w:jc w:val="both"/>
        <w:rPr>
          <w:rFonts w:eastAsia="標楷體"/>
          <w:sz w:val="32"/>
        </w:rPr>
      </w:pPr>
    </w:p>
    <w:p w14:paraId="134DE9AA" w14:textId="77777777" w:rsidR="001274F6" w:rsidRPr="004D2C0C" w:rsidRDefault="001274F6" w:rsidP="001274F6">
      <w:pPr>
        <w:tabs>
          <w:tab w:val="left" w:pos="900"/>
        </w:tabs>
        <w:spacing w:line="500" w:lineRule="atLeast"/>
        <w:ind w:left="900" w:hanging="900"/>
        <w:jc w:val="both"/>
        <w:rPr>
          <w:rFonts w:eastAsia="標楷體"/>
          <w:sz w:val="32"/>
        </w:rPr>
      </w:pPr>
      <w:proofErr w:type="gramStart"/>
      <w:r w:rsidRPr="004D2C0C">
        <w:rPr>
          <w:rFonts w:eastAsia="標楷體"/>
          <w:sz w:val="32"/>
        </w:rPr>
        <w:t>註</w:t>
      </w:r>
      <w:proofErr w:type="gramEnd"/>
      <w:r w:rsidRPr="004D2C0C">
        <w:rPr>
          <w:rFonts w:eastAsia="標楷體"/>
          <w:sz w:val="32"/>
        </w:rPr>
        <w:t>：</w:t>
      </w:r>
    </w:p>
    <w:p w14:paraId="2F09DCE0" w14:textId="77777777" w:rsidR="001274F6" w:rsidRPr="004D2C0C" w:rsidRDefault="001274F6" w:rsidP="001274F6">
      <w:pPr>
        <w:numPr>
          <w:ilvl w:val="0"/>
          <w:numId w:val="13"/>
        </w:numPr>
        <w:tabs>
          <w:tab w:val="clear" w:pos="722"/>
          <w:tab w:val="num" w:pos="360"/>
        </w:tabs>
        <w:spacing w:line="500" w:lineRule="atLeast"/>
        <w:ind w:left="360"/>
        <w:jc w:val="both"/>
        <w:rPr>
          <w:rFonts w:eastAsia="標楷體"/>
          <w:sz w:val="32"/>
        </w:rPr>
      </w:pPr>
      <w:r w:rsidRPr="004D2C0C">
        <w:rPr>
          <w:rFonts w:eastAsia="標楷體"/>
          <w:sz w:val="32"/>
        </w:rPr>
        <w:t>各項評分以</w:t>
      </w:r>
      <w:r w:rsidRPr="004D2C0C">
        <w:rPr>
          <w:rFonts w:eastAsia="標楷體"/>
          <w:sz w:val="32"/>
        </w:rPr>
        <w:t>100</w:t>
      </w:r>
      <w:r w:rsidRPr="004D2C0C">
        <w:rPr>
          <w:rFonts w:eastAsia="標楷體"/>
          <w:sz w:val="32"/>
        </w:rPr>
        <w:t>分計算並分成四級，分為特優、優良、普通、欠佳，各以</w:t>
      </w:r>
      <w:r w:rsidRPr="004D2C0C">
        <w:rPr>
          <w:rFonts w:eastAsia="標楷體"/>
          <w:sz w:val="32"/>
        </w:rPr>
        <w:t>90-100</w:t>
      </w:r>
      <w:r w:rsidRPr="004D2C0C">
        <w:rPr>
          <w:rFonts w:eastAsia="標楷體"/>
          <w:sz w:val="32"/>
        </w:rPr>
        <w:t>、</w:t>
      </w:r>
      <w:r w:rsidRPr="004D2C0C">
        <w:rPr>
          <w:rFonts w:eastAsia="標楷體"/>
          <w:sz w:val="32"/>
        </w:rPr>
        <w:t>80-89</w:t>
      </w:r>
      <w:r w:rsidRPr="004D2C0C">
        <w:rPr>
          <w:rFonts w:eastAsia="標楷體"/>
          <w:sz w:val="32"/>
        </w:rPr>
        <w:t>、</w:t>
      </w:r>
      <w:r w:rsidRPr="004D2C0C">
        <w:rPr>
          <w:rFonts w:eastAsia="標楷體"/>
          <w:sz w:val="32"/>
        </w:rPr>
        <w:t>70-79</w:t>
      </w:r>
      <w:r w:rsidRPr="004D2C0C">
        <w:rPr>
          <w:rFonts w:eastAsia="標楷體"/>
          <w:sz w:val="32"/>
        </w:rPr>
        <w:t>、</w:t>
      </w:r>
      <w:r w:rsidRPr="004D2C0C">
        <w:rPr>
          <w:rFonts w:eastAsia="標楷體"/>
          <w:sz w:val="32"/>
        </w:rPr>
        <w:t>69</w:t>
      </w:r>
      <w:r w:rsidRPr="004D2C0C">
        <w:rPr>
          <w:rFonts w:eastAsia="標楷體"/>
          <w:sz w:val="32"/>
        </w:rPr>
        <w:t>以下代表。</w:t>
      </w:r>
    </w:p>
    <w:p w14:paraId="286B471B" w14:textId="77777777" w:rsidR="001274F6" w:rsidRPr="004D2C0C" w:rsidRDefault="001274F6" w:rsidP="001274F6">
      <w:pPr>
        <w:numPr>
          <w:ilvl w:val="0"/>
          <w:numId w:val="13"/>
        </w:numPr>
        <w:tabs>
          <w:tab w:val="clear" w:pos="722"/>
          <w:tab w:val="num" w:pos="360"/>
        </w:tabs>
        <w:spacing w:line="500" w:lineRule="atLeast"/>
        <w:ind w:left="360"/>
        <w:jc w:val="both"/>
        <w:rPr>
          <w:rFonts w:eastAsia="標楷體"/>
          <w:sz w:val="32"/>
        </w:rPr>
      </w:pPr>
      <w:r w:rsidRPr="004D2C0C">
        <w:rPr>
          <w:rFonts w:eastAsia="標楷體"/>
          <w:sz w:val="32"/>
        </w:rPr>
        <w:t>各審查委員之審查結果平均數作為系審查之結果。</w:t>
      </w:r>
    </w:p>
    <w:p w14:paraId="3693A675" w14:textId="77777777" w:rsidR="001274F6" w:rsidRPr="004D2C0C" w:rsidRDefault="001274F6" w:rsidP="001274F6">
      <w:pPr>
        <w:numPr>
          <w:ilvl w:val="0"/>
          <w:numId w:val="13"/>
        </w:numPr>
        <w:tabs>
          <w:tab w:val="clear" w:pos="722"/>
          <w:tab w:val="num" w:pos="360"/>
        </w:tabs>
        <w:spacing w:line="500" w:lineRule="atLeast"/>
        <w:ind w:left="360"/>
        <w:jc w:val="both"/>
        <w:rPr>
          <w:rFonts w:eastAsia="標楷體"/>
          <w:b/>
          <w:sz w:val="32"/>
        </w:rPr>
      </w:pPr>
      <w:r w:rsidRPr="004D2C0C">
        <w:rPr>
          <w:rFonts w:eastAsia="標楷體"/>
          <w:b/>
          <w:sz w:val="32"/>
        </w:rPr>
        <w:t>各項平均點</w:t>
      </w:r>
      <w:r w:rsidRPr="004D2C0C">
        <w:rPr>
          <w:rFonts w:eastAsia="標楷體"/>
          <w:b/>
          <w:sz w:val="32"/>
        </w:rPr>
        <w:t>80</w:t>
      </w:r>
      <w:r w:rsidRPr="004D2C0C">
        <w:rPr>
          <w:rFonts w:eastAsia="標楷體"/>
          <w:b/>
          <w:sz w:val="32"/>
        </w:rPr>
        <w:t>分以上（含）</w:t>
      </w:r>
      <w:proofErr w:type="gramStart"/>
      <w:r w:rsidRPr="004D2C0C">
        <w:rPr>
          <w:rFonts w:eastAsia="標楷體"/>
          <w:b/>
          <w:sz w:val="32"/>
        </w:rPr>
        <w:t>為系推薦</w:t>
      </w:r>
      <w:proofErr w:type="gramEnd"/>
      <w:r w:rsidRPr="004D2C0C">
        <w:rPr>
          <w:rFonts w:eastAsia="標楷體"/>
          <w:b/>
          <w:sz w:val="32"/>
        </w:rPr>
        <w:t>之標準點。</w:t>
      </w:r>
    </w:p>
    <w:p w14:paraId="5965B390" w14:textId="77777777" w:rsidR="001274F6" w:rsidRPr="004D2C0C" w:rsidRDefault="001274F6" w:rsidP="001274F6">
      <w:pPr>
        <w:numPr>
          <w:ilvl w:val="0"/>
          <w:numId w:val="13"/>
        </w:numPr>
        <w:tabs>
          <w:tab w:val="clear" w:pos="722"/>
          <w:tab w:val="num" w:pos="360"/>
        </w:tabs>
        <w:spacing w:line="500" w:lineRule="atLeast"/>
        <w:ind w:left="360"/>
        <w:jc w:val="both"/>
        <w:rPr>
          <w:rFonts w:eastAsia="標楷體"/>
          <w:sz w:val="32"/>
        </w:rPr>
      </w:pPr>
      <w:r w:rsidRPr="004D2C0C">
        <w:rPr>
          <w:rFonts w:eastAsia="標楷體"/>
          <w:sz w:val="32"/>
        </w:rPr>
        <w:t>本審查資料對外保密，也請委員代為保密。</w:t>
      </w:r>
    </w:p>
    <w:p w14:paraId="2DA68C15" w14:textId="77777777" w:rsidR="001274F6" w:rsidRPr="0022748F" w:rsidRDefault="001274F6" w:rsidP="001274F6">
      <w:pPr>
        <w:jc w:val="center"/>
        <w:rPr>
          <w:rFonts w:eastAsia="標楷體"/>
          <w:b/>
          <w:sz w:val="40"/>
        </w:rPr>
      </w:pPr>
    </w:p>
    <w:p w14:paraId="6958C344" w14:textId="77777777" w:rsidR="001274F6" w:rsidRPr="001274F6" w:rsidRDefault="001274F6" w:rsidP="005E752A">
      <w:pPr>
        <w:jc w:val="center"/>
      </w:pPr>
    </w:p>
    <w:sectPr w:rsidR="001274F6" w:rsidRPr="001274F6" w:rsidSect="00627D8D">
      <w:footerReference w:type="even" r:id="rId10"/>
      <w:footerReference w:type="default" r:id="rId11"/>
      <w:pgSz w:w="11907" w:h="16840" w:code="9"/>
      <w:pgMar w:top="720" w:right="1134" w:bottom="794"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E1CD" w14:textId="77777777" w:rsidR="003D2587" w:rsidRDefault="003D2587">
      <w:r>
        <w:separator/>
      </w:r>
    </w:p>
  </w:endnote>
  <w:endnote w:type="continuationSeparator" w:id="0">
    <w:p w14:paraId="43B18096" w14:textId="77777777" w:rsidR="003D2587" w:rsidRDefault="003D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儷楷書">
    <w:altName w:val="微軟正黑體"/>
    <w:charset w:val="88"/>
    <w:family w:val="script"/>
    <w:pitch w:val="fixed"/>
    <w:sig w:usb0="80000001" w:usb1="28091800" w:usb2="00000016" w:usb3="00000000" w:csb0="00100000" w:csb1="00000000"/>
  </w:font>
  <w:font w:name="圖龍中楷">
    <w:altName w:val="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G Times">
    <w:altName w:val="Times New Roman"/>
    <w:charset w:val="00"/>
    <w:family w:val="roman"/>
    <w:pitch w:val="variable"/>
    <w:sig w:usb0="00000003" w:usb1="00000000" w:usb2="00000000" w:usb3="00000000" w:csb0="00000001" w:csb1="00000000"/>
  </w:font>
  <w:font w:name="超研澤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91CF" w14:textId="77777777" w:rsidR="000A3747" w:rsidRDefault="00612852">
    <w:pPr>
      <w:pStyle w:val="a4"/>
      <w:framePr w:wrap="around" w:vAnchor="text" w:hAnchor="margin" w:xAlign="center" w:y="1"/>
      <w:rPr>
        <w:rStyle w:val="a5"/>
      </w:rPr>
    </w:pPr>
    <w:r>
      <w:rPr>
        <w:rStyle w:val="a5"/>
      </w:rPr>
      <w:fldChar w:fldCharType="begin"/>
    </w:r>
    <w:r w:rsidR="000A3747">
      <w:rPr>
        <w:rStyle w:val="a5"/>
      </w:rPr>
      <w:instrText xml:space="preserve">PAGE  </w:instrText>
    </w:r>
    <w:r>
      <w:rPr>
        <w:rStyle w:val="a5"/>
      </w:rPr>
      <w:fldChar w:fldCharType="end"/>
    </w:r>
  </w:p>
  <w:p w14:paraId="193E89F1" w14:textId="77777777" w:rsidR="000A3747" w:rsidRDefault="000A37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4DC9" w14:textId="77777777" w:rsidR="000A3747" w:rsidRDefault="00612852">
    <w:pPr>
      <w:pStyle w:val="a4"/>
      <w:framePr w:wrap="around" w:vAnchor="text" w:hAnchor="margin" w:xAlign="center" w:y="1"/>
      <w:rPr>
        <w:rStyle w:val="a5"/>
      </w:rPr>
    </w:pPr>
    <w:r>
      <w:rPr>
        <w:rStyle w:val="a5"/>
      </w:rPr>
      <w:fldChar w:fldCharType="begin"/>
    </w:r>
    <w:r w:rsidR="000A3747">
      <w:rPr>
        <w:rStyle w:val="a5"/>
      </w:rPr>
      <w:instrText xml:space="preserve">PAGE  </w:instrText>
    </w:r>
    <w:r>
      <w:rPr>
        <w:rStyle w:val="a5"/>
      </w:rPr>
      <w:fldChar w:fldCharType="separate"/>
    </w:r>
    <w:r w:rsidR="0093186C">
      <w:rPr>
        <w:rStyle w:val="a5"/>
        <w:noProof/>
      </w:rPr>
      <w:t>1</w:t>
    </w:r>
    <w:r>
      <w:rPr>
        <w:rStyle w:val="a5"/>
      </w:rPr>
      <w:fldChar w:fldCharType="end"/>
    </w:r>
  </w:p>
  <w:p w14:paraId="39B3021E" w14:textId="77777777" w:rsidR="000A3747" w:rsidRDefault="000A374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A0E1" w14:textId="77777777" w:rsidR="000A3747" w:rsidRDefault="00612852" w:rsidP="00196FFE">
    <w:pPr>
      <w:pStyle w:val="a4"/>
      <w:framePr w:wrap="around" w:vAnchor="text" w:hAnchor="margin" w:xAlign="center" w:y="1"/>
      <w:rPr>
        <w:rStyle w:val="a5"/>
      </w:rPr>
    </w:pPr>
    <w:r>
      <w:rPr>
        <w:rStyle w:val="a5"/>
      </w:rPr>
      <w:fldChar w:fldCharType="begin"/>
    </w:r>
    <w:r w:rsidR="000A3747">
      <w:rPr>
        <w:rStyle w:val="a5"/>
      </w:rPr>
      <w:instrText xml:space="preserve">PAGE  </w:instrText>
    </w:r>
    <w:r>
      <w:rPr>
        <w:rStyle w:val="a5"/>
      </w:rPr>
      <w:fldChar w:fldCharType="separate"/>
    </w:r>
    <w:r w:rsidR="000A3747">
      <w:rPr>
        <w:rStyle w:val="a5"/>
      </w:rPr>
      <w:t>23</w:t>
    </w:r>
    <w:r>
      <w:rPr>
        <w:rStyle w:val="a5"/>
      </w:rPr>
      <w:fldChar w:fldCharType="end"/>
    </w:r>
  </w:p>
  <w:p w14:paraId="37A3D0E6" w14:textId="77777777" w:rsidR="000A3747" w:rsidRDefault="000A374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043F" w14:textId="77777777" w:rsidR="000A3747" w:rsidRDefault="00612852" w:rsidP="00196FFE">
    <w:pPr>
      <w:pStyle w:val="a4"/>
      <w:framePr w:wrap="around" w:vAnchor="text" w:hAnchor="margin" w:xAlign="center" w:y="1"/>
      <w:jc w:val="center"/>
      <w:rPr>
        <w:rStyle w:val="a5"/>
      </w:rPr>
    </w:pPr>
    <w:r>
      <w:rPr>
        <w:rStyle w:val="a5"/>
      </w:rPr>
      <w:fldChar w:fldCharType="begin"/>
    </w:r>
    <w:r w:rsidR="000A3747">
      <w:rPr>
        <w:rStyle w:val="a5"/>
      </w:rPr>
      <w:instrText xml:space="preserve">PAGE  </w:instrText>
    </w:r>
    <w:r>
      <w:rPr>
        <w:rStyle w:val="a5"/>
      </w:rPr>
      <w:fldChar w:fldCharType="separate"/>
    </w:r>
    <w:r w:rsidR="0093186C">
      <w:rPr>
        <w:rStyle w:val="a5"/>
        <w:noProof/>
      </w:rPr>
      <w:t>6</w:t>
    </w:r>
    <w:r>
      <w:rPr>
        <w:rStyle w:val="a5"/>
      </w:rPr>
      <w:fldChar w:fldCharType="end"/>
    </w:r>
  </w:p>
  <w:p w14:paraId="6CF8B223" w14:textId="77777777" w:rsidR="000A3747" w:rsidRDefault="000A3747" w:rsidP="00196FFE">
    <w:pPr>
      <w:pStyle w:val="a4"/>
      <w:framePr w:wrap="around" w:vAnchor="text" w:hAnchor="margin" w:xAlign="center" w:y="1"/>
      <w:jc w:val="center"/>
      <w:rPr>
        <w:rStyle w:val="a5"/>
      </w:rPr>
    </w:pPr>
  </w:p>
  <w:p w14:paraId="1BD6CCF9" w14:textId="77777777" w:rsidR="000A3747" w:rsidRDefault="000A374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E736" w14:textId="77777777" w:rsidR="003D2587" w:rsidRDefault="003D2587">
      <w:r>
        <w:separator/>
      </w:r>
    </w:p>
  </w:footnote>
  <w:footnote w:type="continuationSeparator" w:id="0">
    <w:p w14:paraId="0558B826" w14:textId="77777777" w:rsidR="003D2587" w:rsidRDefault="003D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C63"/>
    <w:multiLevelType w:val="hybridMultilevel"/>
    <w:tmpl w:val="826AB4B4"/>
    <w:lvl w:ilvl="0" w:tplc="CFEE75D6">
      <w:start w:val="1"/>
      <w:numFmt w:val="taiwaneseCountingThousand"/>
      <w:lvlText w:val="%1、"/>
      <w:legacy w:legacy="1" w:legacySpace="0" w:legacyIndent="705"/>
      <w:lvlJc w:val="left"/>
      <w:pPr>
        <w:ind w:left="705" w:hanging="705"/>
      </w:pPr>
      <w:rPr>
        <w:rFonts w:ascii="標楷體" w:eastAsia="標楷體" w:hAnsi="標楷體" w:hint="eastAsia"/>
        <w:b w:val="0"/>
        <w:i w:val="0"/>
        <w:sz w:val="36"/>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D77640"/>
    <w:multiLevelType w:val="singleLevel"/>
    <w:tmpl w:val="54FA8CEE"/>
    <w:lvl w:ilvl="0">
      <w:start w:val="1"/>
      <w:numFmt w:val="decimal"/>
      <w:lvlText w:val="%1."/>
      <w:legacy w:legacy="1" w:legacySpace="0" w:legacyIndent="360"/>
      <w:lvlJc w:val="left"/>
      <w:pPr>
        <w:ind w:left="720" w:hanging="360"/>
      </w:pPr>
      <w:rPr>
        <w:rFonts w:ascii="標楷體" w:eastAsia="標楷體" w:hAnsi="標楷體" w:hint="eastAsia"/>
        <w:b w:val="0"/>
        <w:i w:val="0"/>
        <w:sz w:val="36"/>
        <w:u w:val="none"/>
      </w:rPr>
    </w:lvl>
  </w:abstractNum>
  <w:abstractNum w:abstractNumId="2" w15:restartNumberingAfterBreak="0">
    <w:nsid w:val="02FF0D1C"/>
    <w:multiLevelType w:val="singleLevel"/>
    <w:tmpl w:val="1630A926"/>
    <w:lvl w:ilvl="0">
      <w:start w:val="83"/>
      <w:numFmt w:val="decimal"/>
      <w:lvlText w:val="%1."/>
      <w:legacy w:legacy="1" w:legacySpace="0" w:legacyIndent="315"/>
      <w:lvlJc w:val="left"/>
      <w:pPr>
        <w:ind w:left="7515" w:hanging="315"/>
      </w:pPr>
      <w:rPr>
        <w:rFonts w:ascii="華康儷楷書" w:eastAsia="華康儷楷書" w:hint="eastAsia"/>
        <w:b w:val="0"/>
        <w:i w:val="0"/>
        <w:sz w:val="24"/>
        <w:u w:val="none"/>
      </w:rPr>
    </w:lvl>
  </w:abstractNum>
  <w:abstractNum w:abstractNumId="3" w15:restartNumberingAfterBreak="0">
    <w:nsid w:val="1EE728D1"/>
    <w:multiLevelType w:val="hybridMultilevel"/>
    <w:tmpl w:val="4BC2B2A2"/>
    <w:lvl w:ilvl="0" w:tplc="1D165188">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2C05445"/>
    <w:multiLevelType w:val="hybridMultilevel"/>
    <w:tmpl w:val="198EDAE0"/>
    <w:lvl w:ilvl="0" w:tplc="04090011">
      <w:start w:val="1"/>
      <w:numFmt w:val="upperLetter"/>
      <w:lvlText w:val="%1."/>
      <w:lvlJc w:val="left"/>
      <w:pPr>
        <w:ind w:left="1499" w:hanging="360"/>
      </w:pPr>
    </w:lvl>
    <w:lvl w:ilvl="1" w:tplc="04090019">
      <w:start w:val="1"/>
      <w:numFmt w:val="ideographTraditional"/>
      <w:lvlText w:val="%2、"/>
      <w:lvlJc w:val="left"/>
      <w:pPr>
        <w:ind w:left="2099" w:hanging="480"/>
      </w:pPr>
    </w:lvl>
    <w:lvl w:ilvl="2" w:tplc="0409001B">
      <w:start w:val="1"/>
      <w:numFmt w:val="lowerRoman"/>
      <w:lvlText w:val="%3."/>
      <w:lvlJc w:val="right"/>
      <w:pPr>
        <w:ind w:left="2579" w:hanging="480"/>
      </w:pPr>
    </w:lvl>
    <w:lvl w:ilvl="3" w:tplc="0409000F">
      <w:start w:val="1"/>
      <w:numFmt w:val="decimal"/>
      <w:lvlText w:val="%4."/>
      <w:lvlJc w:val="left"/>
      <w:pPr>
        <w:ind w:left="3059" w:hanging="480"/>
      </w:pPr>
    </w:lvl>
    <w:lvl w:ilvl="4" w:tplc="04090019">
      <w:start w:val="1"/>
      <w:numFmt w:val="ideographTraditional"/>
      <w:lvlText w:val="%5、"/>
      <w:lvlJc w:val="left"/>
      <w:pPr>
        <w:ind w:left="3539" w:hanging="480"/>
      </w:pPr>
    </w:lvl>
    <w:lvl w:ilvl="5" w:tplc="0409001B">
      <w:start w:val="1"/>
      <w:numFmt w:val="lowerRoman"/>
      <w:lvlText w:val="%6."/>
      <w:lvlJc w:val="right"/>
      <w:pPr>
        <w:ind w:left="4019" w:hanging="480"/>
      </w:pPr>
    </w:lvl>
    <w:lvl w:ilvl="6" w:tplc="0409000F">
      <w:start w:val="1"/>
      <w:numFmt w:val="decimal"/>
      <w:lvlText w:val="%7."/>
      <w:lvlJc w:val="left"/>
      <w:pPr>
        <w:ind w:left="4499" w:hanging="480"/>
      </w:pPr>
    </w:lvl>
    <w:lvl w:ilvl="7" w:tplc="04090019">
      <w:start w:val="1"/>
      <w:numFmt w:val="ideographTraditional"/>
      <w:lvlText w:val="%8、"/>
      <w:lvlJc w:val="left"/>
      <w:pPr>
        <w:ind w:left="4979" w:hanging="480"/>
      </w:pPr>
    </w:lvl>
    <w:lvl w:ilvl="8" w:tplc="0409001B">
      <w:start w:val="1"/>
      <w:numFmt w:val="lowerRoman"/>
      <w:lvlText w:val="%9."/>
      <w:lvlJc w:val="right"/>
      <w:pPr>
        <w:ind w:left="5459" w:hanging="480"/>
      </w:pPr>
    </w:lvl>
  </w:abstractNum>
  <w:abstractNum w:abstractNumId="5" w15:restartNumberingAfterBreak="0">
    <w:nsid w:val="2E397A70"/>
    <w:multiLevelType w:val="singleLevel"/>
    <w:tmpl w:val="1A9E7808"/>
    <w:lvl w:ilvl="0">
      <w:start w:val="1"/>
      <w:numFmt w:val="decimal"/>
      <w:lvlText w:val="%1."/>
      <w:legacy w:legacy="1" w:legacySpace="0" w:legacyIndent="360"/>
      <w:lvlJc w:val="left"/>
      <w:pPr>
        <w:ind w:left="360" w:hanging="360"/>
      </w:pPr>
      <w:rPr>
        <w:rFonts w:ascii="標楷體" w:eastAsia="標楷體" w:hAnsi="標楷體" w:hint="eastAsia"/>
        <w:b w:val="0"/>
        <w:i w:val="0"/>
        <w:sz w:val="36"/>
        <w:u w:val="none"/>
      </w:rPr>
    </w:lvl>
  </w:abstractNum>
  <w:abstractNum w:abstractNumId="6" w15:restartNumberingAfterBreak="0">
    <w:nsid w:val="37A90A2A"/>
    <w:multiLevelType w:val="hybridMultilevel"/>
    <w:tmpl w:val="314216C4"/>
    <w:lvl w:ilvl="0" w:tplc="38765E5C">
      <w:start w:val="1"/>
      <w:numFmt w:val="decimal"/>
      <w:lvlText w:val="%1."/>
      <w:lvlJc w:val="left"/>
      <w:pPr>
        <w:tabs>
          <w:tab w:val="num" w:pos="722"/>
        </w:tabs>
        <w:ind w:left="722" w:hanging="360"/>
      </w:pPr>
      <w:rPr>
        <w:rFonts w:hint="eastAsia"/>
      </w:rPr>
    </w:lvl>
    <w:lvl w:ilvl="1" w:tplc="9B56D818">
      <w:start w:val="6"/>
      <w:numFmt w:val="taiwaneseCountingThousand"/>
      <w:lvlText w:val="%2、"/>
      <w:lvlJc w:val="left"/>
      <w:pPr>
        <w:tabs>
          <w:tab w:val="num" w:pos="1562"/>
        </w:tabs>
        <w:ind w:left="1562" w:hanging="720"/>
      </w:pPr>
      <w:rPr>
        <w:rFonts w:hint="default"/>
      </w:r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7" w15:restartNumberingAfterBreak="0">
    <w:nsid w:val="43F54EF1"/>
    <w:multiLevelType w:val="singleLevel"/>
    <w:tmpl w:val="6714E282"/>
    <w:lvl w:ilvl="0">
      <w:start w:val="1"/>
      <w:numFmt w:val="decimal"/>
      <w:lvlText w:val="%1."/>
      <w:legacy w:legacy="1" w:legacySpace="0" w:legacyIndent="285"/>
      <w:lvlJc w:val="left"/>
      <w:pPr>
        <w:ind w:left="285" w:hanging="285"/>
      </w:pPr>
      <w:rPr>
        <w:rFonts w:ascii="華康儷楷書" w:eastAsia="華康儷楷書" w:hint="eastAsia"/>
        <w:b w:val="0"/>
        <w:i w:val="0"/>
        <w:sz w:val="32"/>
        <w:u w:val="none"/>
      </w:rPr>
    </w:lvl>
  </w:abstractNum>
  <w:abstractNum w:abstractNumId="8" w15:restartNumberingAfterBreak="0">
    <w:nsid w:val="4C367EC1"/>
    <w:multiLevelType w:val="hybridMultilevel"/>
    <w:tmpl w:val="F9806E12"/>
    <w:lvl w:ilvl="0" w:tplc="38765E5C">
      <w:start w:val="1"/>
      <w:numFmt w:val="decimal"/>
      <w:lvlText w:val="%1."/>
      <w:lvlJc w:val="left"/>
      <w:pPr>
        <w:tabs>
          <w:tab w:val="num" w:pos="722"/>
        </w:tabs>
        <w:ind w:left="722" w:hanging="360"/>
      </w:pPr>
      <w:rPr>
        <w:rFonts w:hint="eastAsia"/>
      </w:rPr>
    </w:lvl>
    <w:lvl w:ilvl="1" w:tplc="949A5E78">
      <w:start w:val="3"/>
      <w:numFmt w:val="taiwaneseCountingThousand"/>
      <w:lvlText w:val="（%2）"/>
      <w:lvlJc w:val="left"/>
      <w:pPr>
        <w:tabs>
          <w:tab w:val="num" w:pos="1200"/>
        </w:tabs>
        <w:ind w:left="1200" w:hanging="720"/>
      </w:pPr>
      <w:rPr>
        <w:rFonts w:hint="default"/>
      </w:rPr>
    </w:lvl>
    <w:lvl w:ilvl="2" w:tplc="3A1246B2">
      <w:start w:val="3"/>
      <w:numFmt w:val="ideographLegalTraditional"/>
      <w:lvlText w:val="%3、"/>
      <w:lvlJc w:val="left"/>
      <w:pPr>
        <w:tabs>
          <w:tab w:val="num" w:pos="1740"/>
        </w:tabs>
        <w:ind w:left="1740" w:hanging="780"/>
      </w:pPr>
      <w:rPr>
        <w:rFonts w:hint="default"/>
        <w:b w:val="0"/>
        <w:sz w:val="36"/>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6096ADD"/>
    <w:multiLevelType w:val="singleLevel"/>
    <w:tmpl w:val="71EC0A5E"/>
    <w:lvl w:ilvl="0">
      <w:start w:val="1"/>
      <w:numFmt w:val="taiwaneseCountingThousand"/>
      <w:lvlText w:val="%1、"/>
      <w:legacy w:legacy="1" w:legacySpace="0" w:legacyIndent="285"/>
      <w:lvlJc w:val="left"/>
      <w:pPr>
        <w:ind w:left="995" w:hanging="285"/>
      </w:pPr>
      <w:rPr>
        <w:rFonts w:ascii="標楷體" w:eastAsia="標楷體" w:hAnsi="標楷體" w:cs="Times New Roman"/>
        <w:b w:val="0"/>
        <w:i w:val="0"/>
        <w:sz w:val="32"/>
        <w:u w:val="none"/>
      </w:rPr>
    </w:lvl>
  </w:abstractNum>
  <w:abstractNum w:abstractNumId="10" w15:restartNumberingAfterBreak="0">
    <w:nsid w:val="594F054C"/>
    <w:multiLevelType w:val="singleLevel"/>
    <w:tmpl w:val="F57C3356"/>
    <w:lvl w:ilvl="0">
      <w:start w:val="1"/>
      <w:numFmt w:val="decimal"/>
      <w:lvlText w:val="%1."/>
      <w:legacy w:legacy="1" w:legacySpace="0" w:legacyIndent="285"/>
      <w:lvlJc w:val="left"/>
      <w:pPr>
        <w:ind w:left="285" w:hanging="285"/>
      </w:pPr>
      <w:rPr>
        <w:rFonts w:ascii="華康儷楷書" w:eastAsia="華康儷楷書" w:hint="eastAsia"/>
        <w:b w:val="0"/>
        <w:i w:val="0"/>
        <w:sz w:val="32"/>
        <w:u w:val="none"/>
      </w:rPr>
    </w:lvl>
  </w:abstractNum>
  <w:abstractNum w:abstractNumId="11" w15:restartNumberingAfterBreak="0">
    <w:nsid w:val="5DE856BA"/>
    <w:multiLevelType w:val="singleLevel"/>
    <w:tmpl w:val="C6F64786"/>
    <w:lvl w:ilvl="0">
      <w:start w:val="4"/>
      <w:numFmt w:val="upperLetter"/>
      <w:lvlText w:val="%1."/>
      <w:legacy w:legacy="1" w:legacySpace="0" w:legacyIndent="285"/>
      <w:lvlJc w:val="left"/>
      <w:pPr>
        <w:ind w:left="285" w:hanging="285"/>
      </w:pPr>
      <w:rPr>
        <w:rFonts w:ascii="圖龍中楷" w:eastAsia="圖龍中楷" w:hint="eastAsia"/>
        <w:b w:val="0"/>
        <w:i w:val="0"/>
        <w:sz w:val="32"/>
        <w:u w:val="none"/>
      </w:rPr>
    </w:lvl>
  </w:abstractNum>
  <w:abstractNum w:abstractNumId="12" w15:restartNumberingAfterBreak="0">
    <w:nsid w:val="6706193A"/>
    <w:multiLevelType w:val="singleLevel"/>
    <w:tmpl w:val="F57C3356"/>
    <w:lvl w:ilvl="0">
      <w:start w:val="1"/>
      <w:numFmt w:val="decimal"/>
      <w:lvlText w:val="%1."/>
      <w:legacy w:legacy="1" w:legacySpace="0" w:legacyIndent="285"/>
      <w:lvlJc w:val="left"/>
      <w:pPr>
        <w:ind w:left="285" w:hanging="285"/>
      </w:pPr>
      <w:rPr>
        <w:rFonts w:ascii="華康儷楷書" w:eastAsia="華康儷楷書" w:hint="eastAsia"/>
        <w:b w:val="0"/>
        <w:i w:val="0"/>
        <w:sz w:val="32"/>
        <w:u w:val="none"/>
      </w:rPr>
    </w:lvl>
  </w:abstractNum>
  <w:abstractNum w:abstractNumId="13" w15:restartNumberingAfterBreak="0">
    <w:nsid w:val="6A922331"/>
    <w:multiLevelType w:val="singleLevel"/>
    <w:tmpl w:val="6714E282"/>
    <w:lvl w:ilvl="0">
      <w:start w:val="1"/>
      <w:numFmt w:val="decimal"/>
      <w:lvlText w:val="%1."/>
      <w:legacy w:legacy="1" w:legacySpace="0" w:legacyIndent="285"/>
      <w:lvlJc w:val="left"/>
      <w:pPr>
        <w:ind w:left="285" w:hanging="285"/>
      </w:pPr>
      <w:rPr>
        <w:rFonts w:ascii="華康儷楷書" w:eastAsia="華康儷楷書" w:hint="eastAsia"/>
        <w:b w:val="0"/>
        <w:i w:val="0"/>
        <w:sz w:val="32"/>
        <w:u w:val="none"/>
      </w:rPr>
    </w:lvl>
  </w:abstractNum>
  <w:abstractNum w:abstractNumId="14" w15:restartNumberingAfterBreak="0">
    <w:nsid w:val="739E40E6"/>
    <w:multiLevelType w:val="singleLevel"/>
    <w:tmpl w:val="ED6E23FC"/>
    <w:lvl w:ilvl="0">
      <w:start w:val="1"/>
      <w:numFmt w:val="upperLetter"/>
      <w:lvlText w:val="%1."/>
      <w:legacy w:legacy="1" w:legacySpace="0" w:legacyIndent="285"/>
      <w:lvlJc w:val="left"/>
      <w:pPr>
        <w:ind w:left="1245" w:hanging="285"/>
      </w:pPr>
      <w:rPr>
        <w:rFonts w:ascii="華康儷楷書" w:eastAsia="華康儷楷書" w:hint="eastAsia"/>
        <w:b w:val="0"/>
        <w:i w:val="0"/>
        <w:sz w:val="32"/>
        <w:u w:val="none"/>
      </w:rPr>
    </w:lvl>
  </w:abstractNum>
  <w:abstractNum w:abstractNumId="15" w15:restartNumberingAfterBreak="0">
    <w:nsid w:val="7BFF3F45"/>
    <w:multiLevelType w:val="hybridMultilevel"/>
    <w:tmpl w:val="7DEC5C02"/>
    <w:lvl w:ilvl="0" w:tplc="6850432C">
      <w:start w:val="9"/>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5"/>
  </w:num>
  <w:num w:numId="3">
    <w:abstractNumId w:val="7"/>
  </w:num>
  <w:num w:numId="4">
    <w:abstractNumId w:val="13"/>
  </w:num>
  <w:num w:numId="5">
    <w:abstractNumId w:val="0"/>
  </w:num>
  <w:num w:numId="6">
    <w:abstractNumId w:val="2"/>
  </w:num>
  <w:num w:numId="7">
    <w:abstractNumId w:val="9"/>
  </w:num>
  <w:num w:numId="8">
    <w:abstractNumId w:val="12"/>
  </w:num>
  <w:num w:numId="9">
    <w:abstractNumId w:val="10"/>
  </w:num>
  <w:num w:numId="10">
    <w:abstractNumId w:val="14"/>
  </w:num>
  <w:num w:numId="11">
    <w:abstractNumId w:val="11"/>
  </w:num>
  <w:num w:numId="12">
    <w:abstractNumId w:val="6"/>
  </w:num>
  <w:num w:numId="13">
    <w:abstractNumId w:val="8"/>
  </w:num>
  <w:num w:numId="14">
    <w:abstractNumId w:val="3"/>
  </w:num>
  <w:num w:numId="15">
    <w:abstractNumId w:val="1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FE"/>
    <w:rsid w:val="000014F9"/>
    <w:rsid w:val="0000447E"/>
    <w:rsid w:val="00011DDF"/>
    <w:rsid w:val="00020A96"/>
    <w:rsid w:val="00044A38"/>
    <w:rsid w:val="00047701"/>
    <w:rsid w:val="00060FFE"/>
    <w:rsid w:val="000748C9"/>
    <w:rsid w:val="00075575"/>
    <w:rsid w:val="000A3747"/>
    <w:rsid w:val="000A72A1"/>
    <w:rsid w:val="000B0704"/>
    <w:rsid w:val="000B7D87"/>
    <w:rsid w:val="000C43D9"/>
    <w:rsid w:val="000C4414"/>
    <w:rsid w:val="000D0FD3"/>
    <w:rsid w:val="000D6205"/>
    <w:rsid w:val="000D745E"/>
    <w:rsid w:val="000F08E7"/>
    <w:rsid w:val="000F78A3"/>
    <w:rsid w:val="00110967"/>
    <w:rsid w:val="001135F0"/>
    <w:rsid w:val="00113A9B"/>
    <w:rsid w:val="00114497"/>
    <w:rsid w:val="00122E97"/>
    <w:rsid w:val="00125A3D"/>
    <w:rsid w:val="001274F6"/>
    <w:rsid w:val="00151CB6"/>
    <w:rsid w:val="00156C4B"/>
    <w:rsid w:val="00161DD6"/>
    <w:rsid w:val="001621BC"/>
    <w:rsid w:val="0016267D"/>
    <w:rsid w:val="00163F14"/>
    <w:rsid w:val="00164F4A"/>
    <w:rsid w:val="001711AC"/>
    <w:rsid w:val="001722AB"/>
    <w:rsid w:val="00173A66"/>
    <w:rsid w:val="00196FFE"/>
    <w:rsid w:val="001A3305"/>
    <w:rsid w:val="001B49D0"/>
    <w:rsid w:val="001B5982"/>
    <w:rsid w:val="001B6987"/>
    <w:rsid w:val="001C3F61"/>
    <w:rsid w:val="001C485C"/>
    <w:rsid w:val="001C6D34"/>
    <w:rsid w:val="001C7CBB"/>
    <w:rsid w:val="001E5F8B"/>
    <w:rsid w:val="001F07E0"/>
    <w:rsid w:val="00200046"/>
    <w:rsid w:val="0021032E"/>
    <w:rsid w:val="00216ECC"/>
    <w:rsid w:val="00217265"/>
    <w:rsid w:val="002202F9"/>
    <w:rsid w:val="0022271F"/>
    <w:rsid w:val="0022748F"/>
    <w:rsid w:val="00237A5A"/>
    <w:rsid w:val="00241888"/>
    <w:rsid w:val="0026482E"/>
    <w:rsid w:val="00267682"/>
    <w:rsid w:val="00270F89"/>
    <w:rsid w:val="00271182"/>
    <w:rsid w:val="00274F21"/>
    <w:rsid w:val="0027616B"/>
    <w:rsid w:val="00291BB0"/>
    <w:rsid w:val="00296023"/>
    <w:rsid w:val="0029684A"/>
    <w:rsid w:val="002C41F4"/>
    <w:rsid w:val="002C7FCC"/>
    <w:rsid w:val="002D2668"/>
    <w:rsid w:val="002E4842"/>
    <w:rsid w:val="002E79B6"/>
    <w:rsid w:val="003009F0"/>
    <w:rsid w:val="00300A6D"/>
    <w:rsid w:val="00306C33"/>
    <w:rsid w:val="00321652"/>
    <w:rsid w:val="00331883"/>
    <w:rsid w:val="00341669"/>
    <w:rsid w:val="003429E0"/>
    <w:rsid w:val="00351419"/>
    <w:rsid w:val="00353A41"/>
    <w:rsid w:val="00360A88"/>
    <w:rsid w:val="00361CD3"/>
    <w:rsid w:val="003710DB"/>
    <w:rsid w:val="00374C6D"/>
    <w:rsid w:val="0038180B"/>
    <w:rsid w:val="003859AB"/>
    <w:rsid w:val="003926C8"/>
    <w:rsid w:val="003958AE"/>
    <w:rsid w:val="003970C2"/>
    <w:rsid w:val="003B13C8"/>
    <w:rsid w:val="003C2780"/>
    <w:rsid w:val="003C3B8A"/>
    <w:rsid w:val="003D2587"/>
    <w:rsid w:val="003D6713"/>
    <w:rsid w:val="003E34C8"/>
    <w:rsid w:val="003E52C8"/>
    <w:rsid w:val="003F160F"/>
    <w:rsid w:val="00402859"/>
    <w:rsid w:val="0040586F"/>
    <w:rsid w:val="00410A60"/>
    <w:rsid w:val="0042101F"/>
    <w:rsid w:val="00424B5F"/>
    <w:rsid w:val="004271BB"/>
    <w:rsid w:val="0043535D"/>
    <w:rsid w:val="00441522"/>
    <w:rsid w:val="004500F3"/>
    <w:rsid w:val="004509D1"/>
    <w:rsid w:val="00453414"/>
    <w:rsid w:val="0047340E"/>
    <w:rsid w:val="0048375A"/>
    <w:rsid w:val="00492CC9"/>
    <w:rsid w:val="00493D56"/>
    <w:rsid w:val="004A284B"/>
    <w:rsid w:val="004A44BE"/>
    <w:rsid w:val="004D1162"/>
    <w:rsid w:val="004D2C0C"/>
    <w:rsid w:val="004D77A7"/>
    <w:rsid w:val="004D7FD9"/>
    <w:rsid w:val="004E36CF"/>
    <w:rsid w:val="004E6A52"/>
    <w:rsid w:val="004E7767"/>
    <w:rsid w:val="004F2261"/>
    <w:rsid w:val="004F4BEA"/>
    <w:rsid w:val="004F5DB1"/>
    <w:rsid w:val="0050332B"/>
    <w:rsid w:val="005101F1"/>
    <w:rsid w:val="00511A79"/>
    <w:rsid w:val="0051794C"/>
    <w:rsid w:val="00521AF7"/>
    <w:rsid w:val="00522E67"/>
    <w:rsid w:val="00523ABE"/>
    <w:rsid w:val="00532E67"/>
    <w:rsid w:val="005478FD"/>
    <w:rsid w:val="005524EF"/>
    <w:rsid w:val="005655A2"/>
    <w:rsid w:val="005663B4"/>
    <w:rsid w:val="00575125"/>
    <w:rsid w:val="0057551A"/>
    <w:rsid w:val="00586D6A"/>
    <w:rsid w:val="00587169"/>
    <w:rsid w:val="00590DE8"/>
    <w:rsid w:val="005B70AA"/>
    <w:rsid w:val="005D1C61"/>
    <w:rsid w:val="005E23A3"/>
    <w:rsid w:val="005E2A88"/>
    <w:rsid w:val="005E752A"/>
    <w:rsid w:val="005F332A"/>
    <w:rsid w:val="00612852"/>
    <w:rsid w:val="00622492"/>
    <w:rsid w:val="00627D8D"/>
    <w:rsid w:val="00633C0C"/>
    <w:rsid w:val="006371DF"/>
    <w:rsid w:val="006406F7"/>
    <w:rsid w:val="00645327"/>
    <w:rsid w:val="00645545"/>
    <w:rsid w:val="00645B25"/>
    <w:rsid w:val="0064760D"/>
    <w:rsid w:val="00647B0C"/>
    <w:rsid w:val="00653709"/>
    <w:rsid w:val="006565D5"/>
    <w:rsid w:val="00664C6E"/>
    <w:rsid w:val="0068212C"/>
    <w:rsid w:val="00682DA8"/>
    <w:rsid w:val="006849BE"/>
    <w:rsid w:val="006849E3"/>
    <w:rsid w:val="006A1C05"/>
    <w:rsid w:val="006B135C"/>
    <w:rsid w:val="006C14B6"/>
    <w:rsid w:val="006C34F2"/>
    <w:rsid w:val="006C6743"/>
    <w:rsid w:val="006D0EAC"/>
    <w:rsid w:val="006D10CA"/>
    <w:rsid w:val="006D1265"/>
    <w:rsid w:val="006D292D"/>
    <w:rsid w:val="00701040"/>
    <w:rsid w:val="0071434A"/>
    <w:rsid w:val="00715179"/>
    <w:rsid w:val="007170B3"/>
    <w:rsid w:val="00717CE6"/>
    <w:rsid w:val="00725913"/>
    <w:rsid w:val="00731153"/>
    <w:rsid w:val="00732BB1"/>
    <w:rsid w:val="007410E4"/>
    <w:rsid w:val="00761C7A"/>
    <w:rsid w:val="0076234F"/>
    <w:rsid w:val="007635A9"/>
    <w:rsid w:val="00775B75"/>
    <w:rsid w:val="00790A98"/>
    <w:rsid w:val="007A7CFF"/>
    <w:rsid w:val="007A7D34"/>
    <w:rsid w:val="007B687A"/>
    <w:rsid w:val="007B7C41"/>
    <w:rsid w:val="007D257D"/>
    <w:rsid w:val="007D7008"/>
    <w:rsid w:val="007E1405"/>
    <w:rsid w:val="007E741E"/>
    <w:rsid w:val="007F176D"/>
    <w:rsid w:val="007F64FE"/>
    <w:rsid w:val="00801E1E"/>
    <w:rsid w:val="00804A11"/>
    <w:rsid w:val="0080509A"/>
    <w:rsid w:val="00820A47"/>
    <w:rsid w:val="0082210F"/>
    <w:rsid w:val="00826B37"/>
    <w:rsid w:val="00826D25"/>
    <w:rsid w:val="00867708"/>
    <w:rsid w:val="00874D1F"/>
    <w:rsid w:val="0088179F"/>
    <w:rsid w:val="00897B6F"/>
    <w:rsid w:val="008B1EBF"/>
    <w:rsid w:val="008B6905"/>
    <w:rsid w:val="008C2703"/>
    <w:rsid w:val="008C35A6"/>
    <w:rsid w:val="008C77C1"/>
    <w:rsid w:val="008D1BCF"/>
    <w:rsid w:val="008F69C4"/>
    <w:rsid w:val="00906C67"/>
    <w:rsid w:val="00913776"/>
    <w:rsid w:val="00913E4A"/>
    <w:rsid w:val="00924333"/>
    <w:rsid w:val="0093186C"/>
    <w:rsid w:val="009402E8"/>
    <w:rsid w:val="0094586F"/>
    <w:rsid w:val="0096607B"/>
    <w:rsid w:val="00973434"/>
    <w:rsid w:val="00983468"/>
    <w:rsid w:val="00983EB4"/>
    <w:rsid w:val="0098422C"/>
    <w:rsid w:val="00984423"/>
    <w:rsid w:val="00994451"/>
    <w:rsid w:val="009958DB"/>
    <w:rsid w:val="00995E68"/>
    <w:rsid w:val="00996624"/>
    <w:rsid w:val="009A2D4A"/>
    <w:rsid w:val="009A63F7"/>
    <w:rsid w:val="009B0F19"/>
    <w:rsid w:val="009B4005"/>
    <w:rsid w:val="009B54E8"/>
    <w:rsid w:val="009E2C45"/>
    <w:rsid w:val="009E50D7"/>
    <w:rsid w:val="009E66AC"/>
    <w:rsid w:val="009F4704"/>
    <w:rsid w:val="00A0118B"/>
    <w:rsid w:val="00A014D6"/>
    <w:rsid w:val="00A01AE3"/>
    <w:rsid w:val="00A03523"/>
    <w:rsid w:val="00A14FC4"/>
    <w:rsid w:val="00A20090"/>
    <w:rsid w:val="00A333DD"/>
    <w:rsid w:val="00A37FF6"/>
    <w:rsid w:val="00A4509C"/>
    <w:rsid w:val="00A55531"/>
    <w:rsid w:val="00A57B36"/>
    <w:rsid w:val="00A71CD2"/>
    <w:rsid w:val="00A84064"/>
    <w:rsid w:val="00A86234"/>
    <w:rsid w:val="00AA6503"/>
    <w:rsid w:val="00AB1840"/>
    <w:rsid w:val="00AB3873"/>
    <w:rsid w:val="00AC210F"/>
    <w:rsid w:val="00AC2AB8"/>
    <w:rsid w:val="00AC337A"/>
    <w:rsid w:val="00AD15A7"/>
    <w:rsid w:val="00AD4264"/>
    <w:rsid w:val="00AE7914"/>
    <w:rsid w:val="00AF3BA5"/>
    <w:rsid w:val="00AF4E99"/>
    <w:rsid w:val="00AF7222"/>
    <w:rsid w:val="00B04C5C"/>
    <w:rsid w:val="00B34A25"/>
    <w:rsid w:val="00B3567E"/>
    <w:rsid w:val="00B365E8"/>
    <w:rsid w:val="00B37654"/>
    <w:rsid w:val="00B42FB9"/>
    <w:rsid w:val="00B50858"/>
    <w:rsid w:val="00B54443"/>
    <w:rsid w:val="00B55023"/>
    <w:rsid w:val="00B56965"/>
    <w:rsid w:val="00B56D21"/>
    <w:rsid w:val="00B676CD"/>
    <w:rsid w:val="00B71523"/>
    <w:rsid w:val="00B75AEB"/>
    <w:rsid w:val="00B76874"/>
    <w:rsid w:val="00B7740E"/>
    <w:rsid w:val="00B80459"/>
    <w:rsid w:val="00B80B57"/>
    <w:rsid w:val="00B91A23"/>
    <w:rsid w:val="00BA0354"/>
    <w:rsid w:val="00BA550C"/>
    <w:rsid w:val="00BA5717"/>
    <w:rsid w:val="00BB3B2E"/>
    <w:rsid w:val="00BC364A"/>
    <w:rsid w:val="00BD1098"/>
    <w:rsid w:val="00BD18A9"/>
    <w:rsid w:val="00BD4ED5"/>
    <w:rsid w:val="00BD5997"/>
    <w:rsid w:val="00BD6417"/>
    <w:rsid w:val="00BF7CE1"/>
    <w:rsid w:val="00C06D90"/>
    <w:rsid w:val="00C25336"/>
    <w:rsid w:val="00C42154"/>
    <w:rsid w:val="00C43C0B"/>
    <w:rsid w:val="00C4687E"/>
    <w:rsid w:val="00C60E27"/>
    <w:rsid w:val="00C6344E"/>
    <w:rsid w:val="00C63BC1"/>
    <w:rsid w:val="00C656EC"/>
    <w:rsid w:val="00C65EEB"/>
    <w:rsid w:val="00C72597"/>
    <w:rsid w:val="00C81206"/>
    <w:rsid w:val="00C819A8"/>
    <w:rsid w:val="00C90A0F"/>
    <w:rsid w:val="00CA3CE7"/>
    <w:rsid w:val="00CA3DE2"/>
    <w:rsid w:val="00CA5AF6"/>
    <w:rsid w:val="00CB7F00"/>
    <w:rsid w:val="00CC2BCE"/>
    <w:rsid w:val="00CD2F29"/>
    <w:rsid w:val="00CE70B6"/>
    <w:rsid w:val="00CF3D46"/>
    <w:rsid w:val="00CF528C"/>
    <w:rsid w:val="00D00472"/>
    <w:rsid w:val="00D01B7D"/>
    <w:rsid w:val="00D03749"/>
    <w:rsid w:val="00D04BC5"/>
    <w:rsid w:val="00D07EA1"/>
    <w:rsid w:val="00D104A0"/>
    <w:rsid w:val="00D10BA2"/>
    <w:rsid w:val="00D12AAB"/>
    <w:rsid w:val="00D14934"/>
    <w:rsid w:val="00D17AFE"/>
    <w:rsid w:val="00D26A20"/>
    <w:rsid w:val="00D31EA4"/>
    <w:rsid w:val="00D4745A"/>
    <w:rsid w:val="00D6060D"/>
    <w:rsid w:val="00D64F94"/>
    <w:rsid w:val="00D76822"/>
    <w:rsid w:val="00D8069C"/>
    <w:rsid w:val="00D84C8C"/>
    <w:rsid w:val="00D85241"/>
    <w:rsid w:val="00D8799C"/>
    <w:rsid w:val="00D9596E"/>
    <w:rsid w:val="00D97019"/>
    <w:rsid w:val="00DA27A3"/>
    <w:rsid w:val="00DA2C0A"/>
    <w:rsid w:val="00DA63F0"/>
    <w:rsid w:val="00DB3FB1"/>
    <w:rsid w:val="00DE4B97"/>
    <w:rsid w:val="00E072B3"/>
    <w:rsid w:val="00E13231"/>
    <w:rsid w:val="00E145DE"/>
    <w:rsid w:val="00E15E11"/>
    <w:rsid w:val="00E26CFA"/>
    <w:rsid w:val="00E26DEA"/>
    <w:rsid w:val="00E347CF"/>
    <w:rsid w:val="00E35748"/>
    <w:rsid w:val="00E516F6"/>
    <w:rsid w:val="00E53FB1"/>
    <w:rsid w:val="00E549A7"/>
    <w:rsid w:val="00E5577F"/>
    <w:rsid w:val="00E576C5"/>
    <w:rsid w:val="00E72811"/>
    <w:rsid w:val="00E864DF"/>
    <w:rsid w:val="00EB482B"/>
    <w:rsid w:val="00EC041C"/>
    <w:rsid w:val="00ED0F52"/>
    <w:rsid w:val="00ED7668"/>
    <w:rsid w:val="00ED7EFD"/>
    <w:rsid w:val="00EE1C24"/>
    <w:rsid w:val="00EF598C"/>
    <w:rsid w:val="00EF6A23"/>
    <w:rsid w:val="00EF7DD0"/>
    <w:rsid w:val="00F07DA6"/>
    <w:rsid w:val="00F17E02"/>
    <w:rsid w:val="00F23478"/>
    <w:rsid w:val="00F3295B"/>
    <w:rsid w:val="00F366CD"/>
    <w:rsid w:val="00F414D1"/>
    <w:rsid w:val="00F41827"/>
    <w:rsid w:val="00F431B5"/>
    <w:rsid w:val="00F47497"/>
    <w:rsid w:val="00F50ABA"/>
    <w:rsid w:val="00F50CCE"/>
    <w:rsid w:val="00F54AF2"/>
    <w:rsid w:val="00F556B5"/>
    <w:rsid w:val="00F720FD"/>
    <w:rsid w:val="00F80238"/>
    <w:rsid w:val="00F81E21"/>
    <w:rsid w:val="00F86A5F"/>
    <w:rsid w:val="00F91708"/>
    <w:rsid w:val="00FB64C8"/>
    <w:rsid w:val="00FD506E"/>
    <w:rsid w:val="00FD56B8"/>
    <w:rsid w:val="00FF48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DD753"/>
  <w15:docId w15:val="{AADCAD3E-3ABF-4B08-82C4-4AB13E8D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FFE"/>
    <w:pPr>
      <w:widowControl w:val="0"/>
      <w:adjustRightInd w:val="0"/>
      <w:spacing w:line="360" w:lineRule="atLeast"/>
      <w:textAlignment w:val="baseline"/>
    </w:pPr>
    <w:rPr>
      <w:rFonts w:eastAsia="細明體"/>
      <w:sz w:val="24"/>
    </w:rPr>
  </w:style>
  <w:style w:type="paragraph" w:styleId="2">
    <w:name w:val="heading 2"/>
    <w:basedOn w:val="a"/>
    <w:next w:val="a0"/>
    <w:link w:val="20"/>
    <w:qFormat/>
    <w:rsid w:val="00CB7F00"/>
    <w:pPr>
      <w:keepNext/>
      <w:spacing w:line="240" w:lineRule="auto"/>
      <w:jc w:val="both"/>
      <w:outlineLvl w:val="1"/>
    </w:pPr>
    <w:rPr>
      <w:rFonts w:ascii="CG Times" w:eastAsia="標楷體" w:hAnsi="CG Times"/>
      <w:b/>
      <w:kern w:val="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196FFE"/>
    <w:pPr>
      <w:tabs>
        <w:tab w:val="center" w:pos="4153"/>
        <w:tab w:val="right" w:pos="8306"/>
      </w:tabs>
    </w:pPr>
    <w:rPr>
      <w:sz w:val="20"/>
    </w:rPr>
  </w:style>
  <w:style w:type="character" w:styleId="a5">
    <w:name w:val="page number"/>
    <w:basedOn w:val="a1"/>
    <w:rsid w:val="00196FFE"/>
  </w:style>
  <w:style w:type="paragraph" w:styleId="a6">
    <w:name w:val="Body Text Indent"/>
    <w:basedOn w:val="a"/>
    <w:rsid w:val="00196FFE"/>
    <w:pPr>
      <w:ind w:left="960" w:hanging="960"/>
      <w:jc w:val="both"/>
    </w:pPr>
    <w:rPr>
      <w:rFonts w:ascii="超研澤中楷" w:eastAsia="超研澤中楷"/>
      <w:b/>
      <w:sz w:val="32"/>
    </w:rPr>
  </w:style>
  <w:style w:type="paragraph" w:styleId="3">
    <w:name w:val="Body Text Indent 3"/>
    <w:basedOn w:val="a"/>
    <w:rsid w:val="00196FFE"/>
    <w:pPr>
      <w:spacing w:after="120"/>
      <w:ind w:leftChars="200" w:left="480"/>
    </w:pPr>
    <w:rPr>
      <w:sz w:val="16"/>
      <w:szCs w:val="16"/>
    </w:rPr>
  </w:style>
  <w:style w:type="paragraph" w:styleId="21">
    <w:name w:val="Body Text Indent 2"/>
    <w:basedOn w:val="a"/>
    <w:rsid w:val="00196FFE"/>
    <w:pPr>
      <w:spacing w:after="120" w:line="480" w:lineRule="auto"/>
      <w:ind w:leftChars="200" w:left="480"/>
    </w:pPr>
  </w:style>
  <w:style w:type="paragraph" w:styleId="a7">
    <w:name w:val="Balloon Text"/>
    <w:basedOn w:val="a"/>
    <w:semiHidden/>
    <w:rsid w:val="00196FFE"/>
    <w:rPr>
      <w:rFonts w:ascii="Arial" w:eastAsia="新細明體" w:hAnsi="Arial"/>
      <w:sz w:val="18"/>
      <w:szCs w:val="18"/>
    </w:rPr>
  </w:style>
  <w:style w:type="paragraph" w:styleId="a8">
    <w:name w:val="header"/>
    <w:basedOn w:val="a"/>
    <w:link w:val="a9"/>
    <w:rsid w:val="005655A2"/>
    <w:pPr>
      <w:tabs>
        <w:tab w:val="center" w:pos="4153"/>
        <w:tab w:val="right" w:pos="8306"/>
      </w:tabs>
      <w:snapToGrid w:val="0"/>
    </w:pPr>
    <w:rPr>
      <w:sz w:val="20"/>
    </w:rPr>
  </w:style>
  <w:style w:type="character" w:customStyle="1" w:styleId="a9">
    <w:name w:val="頁首 字元"/>
    <w:basedOn w:val="a1"/>
    <w:link w:val="a8"/>
    <w:rsid w:val="005655A2"/>
    <w:rPr>
      <w:rFonts w:eastAsia="細明體"/>
    </w:rPr>
  </w:style>
  <w:style w:type="character" w:styleId="aa">
    <w:name w:val="Hyperlink"/>
    <w:basedOn w:val="a1"/>
    <w:rsid w:val="002C7FCC"/>
    <w:rPr>
      <w:color w:val="0000FF"/>
      <w:u w:val="single"/>
    </w:rPr>
  </w:style>
  <w:style w:type="paragraph" w:styleId="ab">
    <w:name w:val="List Paragraph"/>
    <w:basedOn w:val="a"/>
    <w:uiPriority w:val="34"/>
    <w:qFormat/>
    <w:rsid w:val="0042101F"/>
    <w:pPr>
      <w:ind w:leftChars="200" w:left="480"/>
    </w:pPr>
  </w:style>
  <w:style w:type="table" w:styleId="ac">
    <w:name w:val="Table Grid"/>
    <w:basedOn w:val="a2"/>
    <w:rsid w:val="007410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CB7F00"/>
    <w:pPr>
      <w:spacing w:after="120" w:line="480" w:lineRule="auto"/>
    </w:pPr>
  </w:style>
  <w:style w:type="character" w:customStyle="1" w:styleId="23">
    <w:name w:val="本文 2 字元"/>
    <w:basedOn w:val="a1"/>
    <w:link w:val="22"/>
    <w:rsid w:val="00CB7F00"/>
    <w:rPr>
      <w:rFonts w:eastAsia="細明體"/>
      <w:sz w:val="24"/>
    </w:rPr>
  </w:style>
  <w:style w:type="character" w:customStyle="1" w:styleId="20">
    <w:name w:val="標題 2 字元"/>
    <w:basedOn w:val="a1"/>
    <w:link w:val="2"/>
    <w:rsid w:val="00CB7F00"/>
    <w:rPr>
      <w:rFonts w:ascii="CG Times" w:eastAsia="標楷體" w:hAnsi="CG Times"/>
      <w:b/>
      <w:kern w:val="2"/>
    </w:rPr>
  </w:style>
  <w:style w:type="paragraph" w:styleId="a0">
    <w:name w:val="Normal Indent"/>
    <w:basedOn w:val="a"/>
    <w:rsid w:val="00CB7F00"/>
    <w:pPr>
      <w:spacing w:line="240" w:lineRule="auto"/>
      <w:ind w:left="480"/>
    </w:pPr>
    <w:rPr>
      <w:rFonts w:eastAsia="新細明體"/>
      <w:kern w:val="2"/>
    </w:rPr>
  </w:style>
  <w:style w:type="paragraph" w:customStyle="1" w:styleId="210">
    <w:name w:val="本文 21"/>
    <w:basedOn w:val="a"/>
    <w:rsid w:val="00CB7F00"/>
    <w:pPr>
      <w:spacing w:line="240" w:lineRule="auto"/>
      <w:jc w:val="center"/>
    </w:pPr>
    <w:rPr>
      <w:rFonts w:ascii="CG Omega" w:eastAsia="標楷體" w:hAnsi="CG Omega"/>
      <w:b/>
      <w:kern w:val="2"/>
    </w:rPr>
  </w:style>
  <w:style w:type="character" w:styleId="ad">
    <w:name w:val="Strong"/>
    <w:basedOn w:val="a1"/>
    <w:uiPriority w:val="22"/>
    <w:qFormat/>
    <w:rsid w:val="008B6905"/>
    <w:rPr>
      <w:b/>
      <w:bCs/>
    </w:rPr>
  </w:style>
  <w:style w:type="table" w:customStyle="1" w:styleId="1">
    <w:name w:val="表格格線1"/>
    <w:basedOn w:val="a2"/>
    <w:next w:val="ac"/>
    <w:rsid w:val="00A014D6"/>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semiHidden/>
    <w:unhideWhenUsed/>
    <w:rsid w:val="006D10CA"/>
    <w:rPr>
      <w:sz w:val="18"/>
      <w:szCs w:val="18"/>
    </w:rPr>
  </w:style>
  <w:style w:type="paragraph" w:styleId="af">
    <w:name w:val="annotation text"/>
    <w:basedOn w:val="a"/>
    <w:link w:val="af0"/>
    <w:semiHidden/>
    <w:unhideWhenUsed/>
    <w:rsid w:val="006D10CA"/>
  </w:style>
  <w:style w:type="character" w:customStyle="1" w:styleId="af0">
    <w:name w:val="註解文字 字元"/>
    <w:basedOn w:val="a1"/>
    <w:link w:val="af"/>
    <w:semiHidden/>
    <w:rsid w:val="006D10CA"/>
    <w:rPr>
      <w:rFonts w:eastAsia="細明體"/>
      <w:sz w:val="24"/>
    </w:rPr>
  </w:style>
  <w:style w:type="paragraph" w:styleId="af1">
    <w:name w:val="annotation subject"/>
    <w:basedOn w:val="af"/>
    <w:next w:val="af"/>
    <w:link w:val="af2"/>
    <w:semiHidden/>
    <w:unhideWhenUsed/>
    <w:rsid w:val="006D10CA"/>
    <w:rPr>
      <w:b/>
      <w:bCs/>
    </w:rPr>
  </w:style>
  <w:style w:type="character" w:customStyle="1" w:styleId="af2">
    <w:name w:val="註解主旨 字元"/>
    <w:basedOn w:val="af0"/>
    <w:link w:val="af1"/>
    <w:semiHidden/>
    <w:rsid w:val="006D10CA"/>
    <w:rPr>
      <w:rFonts w:eastAsia="細明體"/>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0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5D95F-B90C-439C-9E96-678C12CE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8</Pages>
  <Words>700</Words>
  <Characters>3994</Characters>
  <Application>Microsoft Office Word</Application>
  <DocSecurity>0</DocSecurity>
  <Lines>33</Lines>
  <Paragraphs>9</Paragraphs>
  <ScaleCrop>false</ScaleCrop>
  <Company>FS Dept.</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食品科學系專任教師聘任辦法</dc:title>
  <dc:creator>Michelle Hsu</dc:creator>
  <cp:lastModifiedBy>MARCUS TUNG</cp:lastModifiedBy>
  <cp:revision>123</cp:revision>
  <cp:lastPrinted>2012-04-24T07:24:00Z</cp:lastPrinted>
  <dcterms:created xsi:type="dcterms:W3CDTF">2022-10-20T03:15:00Z</dcterms:created>
  <dcterms:modified xsi:type="dcterms:W3CDTF">2023-12-14T22:41:00Z</dcterms:modified>
</cp:coreProperties>
</file>